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42" w:type="dxa"/>
        <w:tblInd w:w="-1080" w:type="dxa"/>
        <w:tblBorders>
          <w:top w:val="thinThickSmallGap" w:sz="12" w:space="0" w:color="009969"/>
          <w:bottom w:val="thinThickSmallGap" w:sz="12" w:space="0" w:color="009969"/>
        </w:tblBorders>
        <w:tblLook w:val="01E0" w:firstRow="1" w:lastRow="1" w:firstColumn="1" w:lastColumn="1" w:noHBand="0" w:noVBand="0"/>
      </w:tblPr>
      <w:tblGrid>
        <w:gridCol w:w="5220"/>
        <w:gridCol w:w="5922"/>
      </w:tblGrid>
      <w:tr w:rsidR="00882AC0" w:rsidRPr="00096CDE" w14:paraId="3D7876BA" w14:textId="77777777" w:rsidTr="00466621">
        <w:trPr>
          <w:trHeight w:val="2176"/>
        </w:trPr>
        <w:tc>
          <w:tcPr>
            <w:tcW w:w="5220" w:type="dxa"/>
            <w:tcMar>
              <w:top w:w="14" w:type="dxa"/>
              <w:left w:w="115" w:type="dxa"/>
              <w:bottom w:w="7" w:type="dxa"/>
              <w:right w:w="115" w:type="dxa"/>
            </w:tcMar>
            <w:vAlign w:val="center"/>
          </w:tcPr>
          <w:p w14:paraId="7ECCBDBC" w14:textId="77777777" w:rsidR="00882AC0" w:rsidRPr="00096CDE" w:rsidRDefault="00882AC0" w:rsidP="00466621">
            <w:pPr>
              <w:spacing w:after="0" w:line="240" w:lineRule="auto"/>
              <w:ind w:left="864"/>
              <w:rPr>
                <w:rFonts w:ascii="Times New Roman" w:eastAsia="Times New Roman" w:hAnsi="Times New Roman" w:cs="Times New Roman"/>
                <w:color w:val="009969"/>
                <w:sz w:val="24"/>
                <w:szCs w:val="24"/>
              </w:rPr>
            </w:pPr>
            <w:r w:rsidRPr="00096CDE">
              <w:rPr>
                <w:rFonts w:ascii="Times New Roman" w:eastAsia="Times New Roman" w:hAnsi="Times New Roman" w:cs="Times New Roman"/>
                <w:noProof/>
                <w:color w:val="009969"/>
                <w:sz w:val="24"/>
                <w:szCs w:val="24"/>
              </w:rPr>
              <w:drawing>
                <wp:inline distT="0" distB="0" distL="0" distR="0" wp14:anchorId="2289E784" wp14:editId="1F837591">
                  <wp:extent cx="1819656" cy="153619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656" cy="1536192"/>
                          </a:xfrm>
                          <a:prstGeom prst="rect">
                            <a:avLst/>
                          </a:prstGeom>
                          <a:noFill/>
                        </pic:spPr>
                      </pic:pic>
                    </a:graphicData>
                  </a:graphic>
                </wp:inline>
              </w:drawing>
            </w:r>
          </w:p>
        </w:tc>
        <w:tc>
          <w:tcPr>
            <w:tcW w:w="5922" w:type="dxa"/>
            <w:tcMar>
              <w:left w:w="0" w:type="dxa"/>
              <w:right w:w="0" w:type="dxa"/>
            </w:tcMar>
          </w:tcPr>
          <w:p w14:paraId="0F97D640" w14:textId="77777777" w:rsidR="00882AC0" w:rsidRPr="00096CDE" w:rsidRDefault="00882AC0" w:rsidP="00466621">
            <w:pPr>
              <w:spacing w:after="0" w:line="240" w:lineRule="auto"/>
              <w:jc w:val="both"/>
              <w:rPr>
                <w:rFonts w:ascii="Times New Roman" w:eastAsia="Times New Roman" w:hAnsi="Times New Roman" w:cs="Times New Roman"/>
                <w:color w:val="1F497D"/>
                <w:sz w:val="24"/>
                <w:szCs w:val="24"/>
              </w:rPr>
            </w:pPr>
          </w:p>
          <w:p w14:paraId="4F031FF4" w14:textId="77777777" w:rsidR="00882AC0" w:rsidRPr="00096CDE" w:rsidRDefault="00882AC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State of Rhode Island and Providence Plantations</w:t>
            </w:r>
          </w:p>
          <w:p w14:paraId="45EDB127" w14:textId="77777777" w:rsidR="00882AC0" w:rsidRPr="00096CDE" w:rsidRDefault="00882AC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Office of Management and Budget</w:t>
            </w:r>
          </w:p>
          <w:p w14:paraId="4AB1F305" w14:textId="77777777" w:rsidR="00882AC0" w:rsidRPr="00096CDE" w:rsidRDefault="00882AC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OFFICE OF INTERNAL AUDIT</w:t>
            </w:r>
            <w:r w:rsidRPr="00096CDE">
              <w:rPr>
                <w:rFonts w:ascii="Times New Roman" w:eastAsia="Times New Roman" w:hAnsi="Times New Roman" w:cs="Times New Roman"/>
                <w:color w:val="1F497D"/>
                <w:sz w:val="24"/>
                <w:szCs w:val="24"/>
              </w:rPr>
              <w:tab/>
            </w:r>
          </w:p>
          <w:p w14:paraId="27C4D618" w14:textId="77777777" w:rsidR="00882AC0" w:rsidRPr="00096CDE" w:rsidRDefault="00882AC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One Capitol Hill</w:t>
            </w:r>
          </w:p>
          <w:p w14:paraId="455610F0" w14:textId="77777777" w:rsidR="00882AC0" w:rsidRPr="00096CDE" w:rsidRDefault="00882AC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Providence, Rhode Island 02908-5889</w:t>
            </w:r>
          </w:p>
          <w:p w14:paraId="11D4A633" w14:textId="77777777" w:rsidR="00882AC0" w:rsidRPr="00096CDE" w:rsidRDefault="00882AC0" w:rsidP="00466621">
            <w:pPr>
              <w:widowControl w:val="0"/>
              <w:spacing w:before="34" w:after="0" w:line="240" w:lineRule="auto"/>
              <w:ind w:right="-20"/>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 xml:space="preserve">TEL #: (401) 574-8170 </w:t>
            </w:r>
          </w:p>
          <w:p w14:paraId="25F8B24B" w14:textId="77777777" w:rsidR="00882AC0" w:rsidRPr="00096CDE" w:rsidRDefault="00882AC0" w:rsidP="00466621">
            <w:pPr>
              <w:widowControl w:val="0"/>
              <w:spacing w:before="34" w:after="0" w:line="240" w:lineRule="auto"/>
              <w:ind w:right="-20"/>
              <w:jc w:val="both"/>
              <w:rPr>
                <w:rFonts w:ascii="Times New Roman" w:eastAsia="Times New Roman" w:hAnsi="Times New Roman" w:cs="Arial"/>
                <w:sz w:val="24"/>
                <w:szCs w:val="24"/>
              </w:rPr>
            </w:pPr>
            <w:r w:rsidRPr="00096CDE">
              <w:rPr>
                <w:rFonts w:ascii="Times New Roman" w:eastAsia="Times New Roman" w:hAnsi="Times New Roman" w:cs="Times New Roman"/>
                <w:color w:val="1F497D"/>
                <w:sz w:val="24"/>
                <w:szCs w:val="24"/>
              </w:rPr>
              <w:t xml:space="preserve">www.audits.ri.gov  </w:t>
            </w:r>
          </w:p>
          <w:p w14:paraId="50DCB0D3" w14:textId="77777777" w:rsidR="00882AC0" w:rsidRPr="00096CDE" w:rsidRDefault="00882AC0" w:rsidP="00466621">
            <w:pPr>
              <w:tabs>
                <w:tab w:val="center" w:pos="4320"/>
                <w:tab w:val="right" w:pos="8640"/>
              </w:tabs>
              <w:spacing w:after="0" w:line="200" w:lineRule="exact"/>
              <w:rPr>
                <w:rFonts w:ascii="Times New Roman" w:eastAsia="Times New Roman" w:hAnsi="Times New Roman" w:cs="Times New Roman"/>
                <w:color w:val="009969"/>
                <w:sz w:val="28"/>
                <w:szCs w:val="28"/>
              </w:rPr>
            </w:pPr>
          </w:p>
        </w:tc>
      </w:tr>
    </w:tbl>
    <w:p w14:paraId="516FA2DF" w14:textId="77777777" w:rsidR="00882AC0" w:rsidRPr="00096CDE" w:rsidRDefault="00882AC0" w:rsidP="00882AC0">
      <w:pPr>
        <w:widowControl w:val="0"/>
        <w:spacing w:before="34" w:after="0" w:line="240" w:lineRule="auto"/>
        <w:ind w:right="-20"/>
        <w:jc w:val="both"/>
        <w:rPr>
          <w:rFonts w:ascii="Times New Roman" w:eastAsia="Times New Roman" w:hAnsi="Times New Roman" w:cs="Times New Roman"/>
          <w:sz w:val="20"/>
          <w:szCs w:val="20"/>
        </w:rPr>
      </w:pPr>
    </w:p>
    <w:p w14:paraId="42C83508" w14:textId="135F0525" w:rsidR="00882AC0" w:rsidRPr="00096CDE" w:rsidRDefault="00882AC0" w:rsidP="00882AC0">
      <w:pPr>
        <w:widowControl w:val="0"/>
        <w:spacing w:before="34" w:after="0" w:line="240" w:lineRule="auto"/>
        <w:ind w:right="-20"/>
        <w:jc w:val="both"/>
        <w:rPr>
          <w:rFonts w:ascii="Times New Roman" w:eastAsia="Times New Roman" w:hAnsi="Times New Roman" w:cs="Times New Roman"/>
          <w:sz w:val="20"/>
          <w:szCs w:val="20"/>
        </w:rPr>
      </w:pPr>
      <w:r w:rsidRPr="006C4DA4">
        <w:rPr>
          <w:rFonts w:ascii="Times New Roman" w:eastAsia="Times New Roman" w:hAnsi="Times New Roman" w:cs="Times New Roman"/>
          <w:sz w:val="20"/>
          <w:szCs w:val="20"/>
        </w:rPr>
        <w:t>September</w:t>
      </w:r>
      <w:r w:rsidR="006C4DA4">
        <w:rPr>
          <w:rFonts w:ascii="Times New Roman" w:eastAsia="Times New Roman" w:hAnsi="Times New Roman" w:cs="Times New Roman"/>
          <w:sz w:val="20"/>
          <w:szCs w:val="20"/>
        </w:rPr>
        <w:t xml:space="preserve"> 26</w:t>
      </w:r>
      <w:r w:rsidRPr="006C4DA4">
        <w:rPr>
          <w:rFonts w:ascii="Times New Roman" w:eastAsia="Times New Roman" w:hAnsi="Times New Roman" w:cs="Times New Roman"/>
          <w:sz w:val="20"/>
          <w:szCs w:val="20"/>
        </w:rPr>
        <w:t>, 2019</w:t>
      </w:r>
    </w:p>
    <w:p w14:paraId="15A73C97" w14:textId="77777777" w:rsidR="00882AC0" w:rsidRPr="00096CDE" w:rsidRDefault="00882AC0" w:rsidP="00882AC0">
      <w:pPr>
        <w:widowControl w:val="0"/>
        <w:spacing w:after="0" w:line="240" w:lineRule="auto"/>
        <w:ind w:right="-20"/>
        <w:jc w:val="both"/>
        <w:rPr>
          <w:rFonts w:ascii="Times New Roman" w:eastAsia="Times New Roman" w:hAnsi="Times New Roman" w:cs="Times New Roman"/>
          <w:sz w:val="20"/>
          <w:szCs w:val="20"/>
        </w:rPr>
      </w:pPr>
    </w:p>
    <w:p w14:paraId="4BCC27AC" w14:textId="77777777" w:rsidR="00882AC0" w:rsidRPr="00096CDE" w:rsidRDefault="00882AC0" w:rsidP="00882AC0">
      <w:pPr>
        <w:widowControl w:val="0"/>
        <w:spacing w:after="0" w:line="240" w:lineRule="auto"/>
        <w:ind w:right="-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Mr</w:t>
      </w:r>
      <w:r>
        <w:rPr>
          <w:rFonts w:ascii="Times New Roman" w:eastAsia="Times New Roman" w:hAnsi="Times New Roman" w:cs="Times New Roman"/>
          <w:sz w:val="20"/>
          <w:szCs w:val="20"/>
        </w:rPr>
        <w:t>. Jesse Saglio</w:t>
      </w:r>
    </w:p>
    <w:p w14:paraId="721AE1E0" w14:textId="77777777" w:rsidR="00882AC0" w:rsidRPr="00096CDE" w:rsidRDefault="00882AC0" w:rsidP="00882AC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14:paraId="0C5839E7" w14:textId="77777777" w:rsidR="00882AC0" w:rsidRDefault="00882AC0" w:rsidP="00882AC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Rhode Island Commerce Corporation</w:t>
      </w:r>
    </w:p>
    <w:p w14:paraId="2FB1F935" w14:textId="77777777" w:rsidR="00882AC0" w:rsidRDefault="00882AC0" w:rsidP="00882AC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 Iron Horse Way, Suite 101</w:t>
      </w:r>
    </w:p>
    <w:p w14:paraId="59B23920" w14:textId="77777777" w:rsidR="00882AC0" w:rsidRPr="00096CDE" w:rsidRDefault="00882AC0" w:rsidP="00882AC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Providence, RI 02908 </w:t>
      </w:r>
    </w:p>
    <w:p w14:paraId="2546566B" w14:textId="77777777" w:rsidR="00882AC0" w:rsidRPr="00096CDE" w:rsidRDefault="00882AC0" w:rsidP="00882AC0">
      <w:pPr>
        <w:widowControl w:val="0"/>
        <w:spacing w:before="1" w:after="0" w:line="240" w:lineRule="auto"/>
        <w:jc w:val="both"/>
        <w:rPr>
          <w:rFonts w:ascii="Times New Roman" w:eastAsia="Calibri" w:hAnsi="Times New Roman" w:cs="Times New Roman"/>
          <w:sz w:val="20"/>
          <w:szCs w:val="20"/>
        </w:rPr>
      </w:pPr>
    </w:p>
    <w:p w14:paraId="19CA1937" w14:textId="77777777" w:rsidR="00882AC0" w:rsidRPr="00096CDE" w:rsidRDefault="00882AC0" w:rsidP="00882AC0">
      <w:pPr>
        <w:widowControl w:val="0"/>
        <w:spacing w:after="0" w:line="240" w:lineRule="auto"/>
        <w:ind w:right="-20"/>
        <w:jc w:val="both"/>
        <w:rPr>
          <w:rFonts w:ascii="Times New Roman" w:eastAsia="Calibri" w:hAnsi="Times New Roman" w:cs="Times New Roman"/>
          <w:sz w:val="20"/>
          <w:szCs w:val="20"/>
        </w:rPr>
      </w:pPr>
      <w:r w:rsidRPr="00096CDE">
        <w:rPr>
          <w:rFonts w:ascii="Times New Roman" w:eastAsia="Calibri" w:hAnsi="Times New Roman" w:cs="Times New Roman"/>
          <w:sz w:val="20"/>
          <w:szCs w:val="20"/>
        </w:rPr>
        <w:t>Dear</w:t>
      </w:r>
      <w:r>
        <w:rPr>
          <w:rFonts w:ascii="Times New Roman" w:eastAsia="Calibri" w:hAnsi="Times New Roman" w:cs="Times New Roman"/>
          <w:sz w:val="20"/>
          <w:szCs w:val="20"/>
        </w:rPr>
        <w:t xml:space="preserve"> Mr. Saglio</w:t>
      </w:r>
      <w:r w:rsidRPr="00096CDE">
        <w:rPr>
          <w:rFonts w:ascii="Times New Roman" w:eastAsia="Calibri" w:hAnsi="Times New Roman" w:cs="Times New Roman"/>
          <w:w w:val="102"/>
          <w:sz w:val="20"/>
          <w:szCs w:val="20"/>
        </w:rPr>
        <w:t>:</w:t>
      </w:r>
    </w:p>
    <w:p w14:paraId="79360CF9" w14:textId="77777777" w:rsidR="00882AC0" w:rsidRPr="00096CDE" w:rsidRDefault="00882AC0" w:rsidP="00882AC0">
      <w:pPr>
        <w:widowControl w:val="0"/>
        <w:spacing w:before="1" w:after="0" w:line="240" w:lineRule="auto"/>
        <w:jc w:val="both"/>
        <w:rPr>
          <w:rFonts w:ascii="Times New Roman" w:eastAsia="Times New Roman" w:hAnsi="Times New Roman" w:cs="Times New Roman"/>
          <w:sz w:val="20"/>
          <w:szCs w:val="20"/>
        </w:rPr>
      </w:pPr>
    </w:p>
    <w:p w14:paraId="299C9CED" w14:textId="77777777" w:rsidR="00882AC0" w:rsidRPr="00096CDE" w:rsidRDefault="00882AC0" w:rsidP="00882AC0">
      <w:pPr>
        <w:spacing w:after="0" w:line="240" w:lineRule="auto"/>
        <w:ind w:right="7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The Office of Internal Audit has completed its</w:t>
      </w:r>
      <w:r>
        <w:rPr>
          <w:rFonts w:ascii="Times New Roman" w:eastAsia="Times New Roman" w:hAnsi="Times New Roman" w:cs="Times New Roman"/>
          <w:sz w:val="20"/>
          <w:szCs w:val="20"/>
        </w:rPr>
        <w:t xml:space="preserve"> limited</w:t>
      </w:r>
      <w:r w:rsidRPr="00096C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scope performance audit </w:t>
      </w:r>
      <w:r w:rsidRPr="00096CDE">
        <w:rPr>
          <w:rFonts w:ascii="Times New Roman" w:eastAsia="Times New Roman" w:hAnsi="Times New Roman" w:cs="Times New Roman"/>
          <w:sz w:val="20"/>
          <w:szCs w:val="20"/>
        </w:rPr>
        <w:t>of the</w:t>
      </w:r>
      <w:r w:rsidR="00F65606">
        <w:rPr>
          <w:rFonts w:ascii="Times New Roman" w:eastAsia="Times New Roman" w:hAnsi="Times New Roman" w:cs="Times New Roman"/>
          <w:sz w:val="20"/>
          <w:szCs w:val="20"/>
        </w:rPr>
        <w:t xml:space="preserve"> Industrial Recreational Building Authority (IRBA). </w:t>
      </w:r>
      <w:r>
        <w:rPr>
          <w:rFonts w:ascii="Times New Roman" w:eastAsia="Times New Roman" w:hAnsi="Times New Roman" w:cs="Times New Roman"/>
          <w:sz w:val="20"/>
          <w:szCs w:val="20"/>
        </w:rPr>
        <w:t xml:space="preserve">OIA reviewed </w:t>
      </w:r>
      <w:r w:rsidR="00F65606">
        <w:rPr>
          <w:rFonts w:ascii="Times New Roman" w:eastAsia="Times New Roman" w:hAnsi="Times New Roman" w:cs="Times New Roman"/>
          <w:sz w:val="20"/>
          <w:szCs w:val="20"/>
        </w:rPr>
        <w:t>IRBA</w:t>
      </w:r>
      <w:r>
        <w:rPr>
          <w:rFonts w:ascii="Times New Roman" w:eastAsia="Times New Roman" w:hAnsi="Times New Roman" w:cs="Times New Roman"/>
          <w:sz w:val="20"/>
          <w:szCs w:val="20"/>
        </w:rPr>
        <w:t xml:space="preserve">’s compliance with the Quasi-Public Corporations Accountability and Transparency Act as well as the efficiency and effectiveness of operations.  The audit was conducted </w:t>
      </w:r>
      <w:r w:rsidRPr="00096CDE">
        <w:rPr>
          <w:rFonts w:ascii="Times New Roman" w:eastAsia="Times New Roman" w:hAnsi="Times New Roman" w:cs="Times New Roman"/>
          <w:sz w:val="20"/>
          <w:szCs w:val="20"/>
        </w:rPr>
        <w:t>in conformance with the Institute of Internal Auditors (IIA) International Standards for the Professional Practice of Internal Auditing and by the authority given to the unit as stated in accordance with Rhode Island General Laws (RIGL) § 35-7.1-2(a) – Establishment of office of internal audit. The recommendations included herein have been discussed with members of management, and we considered their comments in the preparation of this report.</w:t>
      </w:r>
    </w:p>
    <w:p w14:paraId="783CFC4C" w14:textId="77777777" w:rsidR="00882AC0" w:rsidRPr="00096CDE" w:rsidRDefault="00882AC0" w:rsidP="00882AC0">
      <w:pPr>
        <w:spacing w:after="0" w:line="240" w:lineRule="auto"/>
        <w:ind w:right="720"/>
        <w:jc w:val="both"/>
        <w:rPr>
          <w:rFonts w:ascii="Times New Roman" w:eastAsia="Times New Roman" w:hAnsi="Times New Roman" w:cs="Times New Roman"/>
          <w:sz w:val="20"/>
          <w:szCs w:val="20"/>
        </w:rPr>
      </w:pPr>
    </w:p>
    <w:p w14:paraId="56A7E565" w14:textId="5DBEFDE9" w:rsidR="00882AC0" w:rsidRPr="00096CDE" w:rsidRDefault="00882AC0" w:rsidP="00882AC0">
      <w:pPr>
        <w:widowControl w:val="0"/>
        <w:spacing w:after="0" w:line="240" w:lineRule="auto"/>
        <w:ind w:right="720"/>
        <w:jc w:val="both"/>
        <w:rPr>
          <w:rFonts w:ascii="Times New Roman" w:eastAsia="Times New Roman" w:hAnsi="Times New Roman" w:cs="Times New Roman"/>
          <w:w w:val="109"/>
          <w:sz w:val="20"/>
          <w:szCs w:val="20"/>
        </w:rPr>
      </w:pPr>
      <w:r w:rsidRPr="00096CDE">
        <w:rPr>
          <w:rFonts w:ascii="Times New Roman" w:eastAsia="Times New Roman" w:hAnsi="Times New Roman" w:cs="Times New Roman"/>
          <w:w w:val="87"/>
          <w:sz w:val="20"/>
          <w:szCs w:val="20"/>
        </w:rPr>
        <w:t>RIGL</w:t>
      </w:r>
      <w:r w:rsidRPr="00096CDE">
        <w:rPr>
          <w:rFonts w:ascii="Times New Roman" w:eastAsia="Times New Roman" w:hAnsi="Times New Roman" w:cs="Times New Roman"/>
          <w:spacing w:val="13"/>
          <w:w w:val="87"/>
          <w:sz w:val="20"/>
          <w:szCs w:val="20"/>
        </w:rPr>
        <w:t xml:space="preserve"> </w:t>
      </w:r>
      <w:r w:rsidRPr="00096CDE">
        <w:rPr>
          <w:rFonts w:ascii="Times New Roman" w:eastAsia="Times New Roman" w:hAnsi="Times New Roman" w:cs="Times New Roman"/>
          <w:sz w:val="20"/>
          <w:szCs w:val="20"/>
        </w:rPr>
        <w:t>§ 35-7.1-10(d)</w:t>
      </w:r>
      <w:r w:rsidRPr="00096CDE">
        <w:rPr>
          <w:rFonts w:ascii="Times New Roman" w:eastAsia="Times New Roman" w:hAnsi="Times New Roman" w:cs="Times New Roman"/>
          <w:spacing w:val="10"/>
          <w:sz w:val="20"/>
          <w:szCs w:val="20"/>
        </w:rPr>
        <w:t xml:space="preserve">, </w:t>
      </w:r>
      <w:r w:rsidRPr="00096CDE">
        <w:rPr>
          <w:rFonts w:ascii="Times New Roman" w:eastAsia="Times New Roman" w:hAnsi="Times New Roman" w:cs="Times New Roman"/>
          <w:sz w:val="20"/>
          <w:szCs w:val="20"/>
        </w:rPr>
        <w:t>entitled Annual and interim reports,</w:t>
      </w:r>
      <w:r w:rsidRPr="00096CDE">
        <w:rPr>
          <w:rFonts w:ascii="Times New Roman" w:eastAsia="Times New Roman" w:hAnsi="Times New Roman" w:cs="Times New Roman"/>
          <w:spacing w:val="12"/>
          <w:sz w:val="20"/>
          <w:szCs w:val="20"/>
        </w:rPr>
        <w:t xml:space="preserve"> </w:t>
      </w:r>
      <w:r w:rsidRPr="00096CDE">
        <w:rPr>
          <w:rFonts w:ascii="Times New Roman" w:eastAsia="Times New Roman" w:hAnsi="Times New Roman" w:cs="Times New Roman"/>
          <w:sz w:val="20"/>
          <w:szCs w:val="20"/>
        </w:rPr>
        <w:t>states</w:t>
      </w:r>
      <w:r w:rsidRPr="00096CDE">
        <w:rPr>
          <w:rFonts w:ascii="Times New Roman" w:eastAsia="Times New Roman" w:hAnsi="Times New Roman" w:cs="Times New Roman"/>
          <w:spacing w:val="-15"/>
          <w:sz w:val="20"/>
          <w:szCs w:val="20"/>
        </w:rPr>
        <w:t xml:space="preserve"> </w:t>
      </w:r>
      <w:r w:rsidRPr="00096CDE">
        <w:rPr>
          <w:rFonts w:ascii="Times New Roman" w:eastAsia="Times New Roman" w:hAnsi="Times New Roman" w:cs="Times New Roman"/>
          <w:sz w:val="20"/>
          <w:szCs w:val="20"/>
        </w:rPr>
        <w:t>that,</w:t>
      </w:r>
      <w:r w:rsidRPr="00096CDE">
        <w:rPr>
          <w:rFonts w:ascii="Times New Roman" w:eastAsia="Times New Roman" w:hAnsi="Times New Roman" w:cs="Times New Roman"/>
          <w:spacing w:val="34"/>
          <w:sz w:val="20"/>
          <w:szCs w:val="20"/>
        </w:rPr>
        <w:t xml:space="preserve"> “</w:t>
      </w:r>
      <w:r w:rsidRPr="00096CDE">
        <w:rPr>
          <w:rFonts w:ascii="Times New Roman" w:eastAsia="Times New Roman" w:hAnsi="Times New Roman" w:cs="Times New Roman"/>
          <w:sz w:val="20"/>
          <w:szCs w:val="20"/>
        </w:rPr>
        <w:t>Within</w:t>
      </w:r>
      <w:r w:rsidRPr="00096CDE">
        <w:rPr>
          <w:rFonts w:ascii="Times New Roman" w:eastAsia="Times New Roman" w:hAnsi="Times New Roman" w:cs="Times New Roman"/>
          <w:spacing w:val="52"/>
          <w:sz w:val="20"/>
          <w:szCs w:val="20"/>
        </w:rPr>
        <w:t xml:space="preserve"> </w:t>
      </w:r>
      <w:r w:rsidRPr="00096CDE">
        <w:rPr>
          <w:rFonts w:ascii="Times New Roman" w:eastAsia="Times New Roman" w:hAnsi="Times New Roman" w:cs="Times New Roman"/>
          <w:sz w:val="20"/>
          <w:szCs w:val="20"/>
        </w:rPr>
        <w:t>twenty</w:t>
      </w:r>
      <w:r w:rsidRPr="00096CDE">
        <w:rPr>
          <w:rFonts w:ascii="Times New Roman" w:eastAsia="Times New Roman" w:hAnsi="Times New Roman" w:cs="Times New Roman"/>
          <w:spacing w:val="47"/>
          <w:sz w:val="20"/>
          <w:szCs w:val="20"/>
        </w:rPr>
        <w:t xml:space="preserve"> </w:t>
      </w:r>
      <w:r w:rsidRPr="00096CDE">
        <w:rPr>
          <w:rFonts w:ascii="Times New Roman" w:eastAsia="Times New Roman" w:hAnsi="Times New Roman" w:cs="Times New Roman"/>
          <w:sz w:val="20"/>
          <w:szCs w:val="20"/>
        </w:rPr>
        <w:t>(20) calendar</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w w:val="101"/>
          <w:sz w:val="20"/>
          <w:szCs w:val="20"/>
        </w:rPr>
        <w:t xml:space="preserve">days </w:t>
      </w:r>
      <w:r w:rsidRPr="00096CDE">
        <w:rPr>
          <w:rFonts w:ascii="Times New Roman" w:eastAsia="Times New Roman" w:hAnsi="Times New Roman" w:cs="Times New Roman"/>
          <w:sz w:val="20"/>
          <w:szCs w:val="20"/>
        </w:rPr>
        <w:t>following</w:t>
      </w:r>
      <w:r w:rsidRPr="00096CDE">
        <w:rPr>
          <w:rFonts w:ascii="Times New Roman" w:eastAsia="Times New Roman" w:hAnsi="Times New Roman" w:cs="Times New Roman"/>
          <w:spacing w:val="35"/>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date</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18"/>
          <w:sz w:val="20"/>
          <w:szCs w:val="20"/>
        </w:rPr>
        <w:t xml:space="preserve"> the </w:t>
      </w:r>
      <w:r w:rsidRPr="00096CDE">
        <w:rPr>
          <w:rFonts w:ascii="Times New Roman" w:eastAsia="Times New Roman" w:hAnsi="Times New Roman" w:cs="Times New Roman"/>
          <w:w w:val="96"/>
          <w:sz w:val="20"/>
          <w:szCs w:val="20"/>
        </w:rPr>
        <w:t>issuance</w:t>
      </w:r>
      <w:r w:rsidRPr="00096CDE">
        <w:rPr>
          <w:rFonts w:ascii="Times New Roman" w:eastAsia="Times New Roman" w:hAnsi="Times New Roman" w:cs="Times New Roman"/>
          <w:spacing w:val="-1"/>
          <w:w w:val="96"/>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3"/>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management-response copy of the draft audit report</w:t>
      </w:r>
      <w:r w:rsidRPr="00096CDE">
        <w:rPr>
          <w:rFonts w:ascii="Times New Roman" w:eastAsia="Times New Roman" w:hAnsi="Times New Roman" w:cs="Times New Roman"/>
          <w:spacing w:val="6"/>
          <w:w w:val="108"/>
          <w:sz w:val="20"/>
          <w:szCs w:val="20"/>
        </w:rPr>
        <w:t>,</w:t>
      </w:r>
      <w:r w:rsidRPr="00096CDE">
        <w:rPr>
          <w:rFonts w:ascii="Times New Roman" w:eastAsia="Times New Roman" w:hAnsi="Times New Roman" w:cs="Times New Roman"/>
          <w:w w:val="108"/>
          <w:sz w:val="20"/>
          <w:szCs w:val="20"/>
        </w:rPr>
        <w:t xml:space="preserve"> the</w:t>
      </w:r>
      <w:r w:rsidRPr="00096CDE">
        <w:rPr>
          <w:rFonts w:ascii="Times New Roman" w:eastAsia="Times New Roman" w:hAnsi="Times New Roman" w:cs="Times New Roman"/>
          <w:spacing w:val="-13"/>
          <w:w w:val="108"/>
          <w:sz w:val="20"/>
          <w:szCs w:val="20"/>
        </w:rPr>
        <w:t xml:space="preserve"> </w:t>
      </w:r>
      <w:r w:rsidRPr="00096CDE">
        <w:rPr>
          <w:rFonts w:ascii="Times New Roman" w:eastAsia="Times New Roman" w:hAnsi="Times New Roman" w:cs="Times New Roman"/>
          <w:sz w:val="20"/>
          <w:szCs w:val="20"/>
        </w:rPr>
        <w:t>head</w:t>
      </w:r>
      <w:r w:rsidRPr="00096CDE">
        <w:rPr>
          <w:rFonts w:ascii="Times New Roman" w:eastAsia="Times New Roman" w:hAnsi="Times New Roman" w:cs="Times New Roman"/>
          <w:spacing w:val="-1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19"/>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7"/>
          <w:sz w:val="20"/>
          <w:szCs w:val="20"/>
        </w:rPr>
        <w:t xml:space="preserve"> </w:t>
      </w:r>
      <w:r w:rsidRPr="00096CDE">
        <w:rPr>
          <w:rFonts w:ascii="Times New Roman" w:eastAsia="Times New Roman" w:hAnsi="Times New Roman" w:cs="Times New Roman"/>
          <w:sz w:val="20"/>
          <w:szCs w:val="20"/>
        </w:rPr>
        <w:t>department</w:t>
      </w:r>
      <w:r w:rsidRPr="00096CDE">
        <w:rPr>
          <w:rFonts w:ascii="Times New Roman" w:eastAsia="Times New Roman" w:hAnsi="Times New Roman" w:cs="Times New Roman"/>
          <w:spacing w:val="7"/>
          <w:sz w:val="20"/>
          <w:szCs w:val="20"/>
        </w:rPr>
        <w:t>,</w:t>
      </w:r>
      <w:r w:rsidRPr="00096CDE">
        <w:rPr>
          <w:rFonts w:ascii="Times New Roman" w:eastAsia="Times New Roman" w:hAnsi="Times New Roman" w:cs="Times New Roman"/>
          <w:sz w:val="20"/>
          <w:szCs w:val="20"/>
        </w:rPr>
        <w:t xml:space="preserve"> agency, public body,</w:t>
      </w:r>
      <w:r w:rsidRPr="00096CDE">
        <w:rPr>
          <w:rFonts w:ascii="Times New Roman" w:eastAsia="Times New Roman" w:hAnsi="Times New Roman" w:cs="Times New Roman"/>
          <w:spacing w:val="28"/>
          <w:sz w:val="20"/>
          <w:szCs w:val="20"/>
        </w:rPr>
        <w:t xml:space="preserve"> </w:t>
      </w:r>
      <w:r w:rsidRPr="00096CDE">
        <w:rPr>
          <w:rFonts w:ascii="Times New Roman" w:eastAsia="Times New Roman" w:hAnsi="Times New Roman" w:cs="Times New Roman"/>
          <w:sz w:val="20"/>
          <w:szCs w:val="20"/>
        </w:rPr>
        <w:t>or</w:t>
      </w:r>
      <w:r w:rsidRPr="00096CDE">
        <w:rPr>
          <w:rFonts w:ascii="Times New Roman" w:eastAsia="Times New Roman" w:hAnsi="Times New Roman" w:cs="Times New Roman"/>
          <w:spacing w:val="10"/>
          <w:sz w:val="20"/>
          <w:szCs w:val="20"/>
        </w:rPr>
        <w:t xml:space="preserve"> </w:t>
      </w:r>
      <w:r w:rsidRPr="00096CDE">
        <w:rPr>
          <w:rFonts w:ascii="Times New Roman" w:eastAsia="Times New Roman" w:hAnsi="Times New Roman" w:cs="Times New Roman"/>
          <w:w w:val="106"/>
          <w:sz w:val="20"/>
          <w:szCs w:val="20"/>
        </w:rPr>
        <w:t xml:space="preserve">private </w:t>
      </w:r>
      <w:r w:rsidRPr="00096CDE">
        <w:rPr>
          <w:rFonts w:ascii="Times New Roman" w:eastAsia="Times New Roman" w:hAnsi="Times New Roman" w:cs="Times New Roman"/>
          <w:sz w:val="20"/>
          <w:szCs w:val="20"/>
        </w:rPr>
        <w:t>entity</w:t>
      </w:r>
      <w:r w:rsidRPr="00096CDE">
        <w:rPr>
          <w:rFonts w:ascii="Times New Roman" w:eastAsia="Times New Roman" w:hAnsi="Times New Roman" w:cs="Times New Roman"/>
          <w:spacing w:val="37"/>
          <w:sz w:val="20"/>
          <w:szCs w:val="20"/>
        </w:rPr>
        <w:t xml:space="preserve"> </w:t>
      </w:r>
      <w:r w:rsidRPr="00096CDE">
        <w:rPr>
          <w:rFonts w:ascii="Times New Roman" w:eastAsia="Times New Roman" w:hAnsi="Times New Roman" w:cs="Times New Roman"/>
          <w:sz w:val="20"/>
          <w:szCs w:val="20"/>
        </w:rPr>
        <w:t>audited</w:t>
      </w:r>
      <w:r w:rsidRPr="00096CDE">
        <w:rPr>
          <w:rFonts w:ascii="Times New Roman" w:eastAsia="Times New Roman" w:hAnsi="Times New Roman" w:cs="Times New Roman"/>
          <w:spacing w:val="18"/>
          <w:sz w:val="20"/>
          <w:szCs w:val="20"/>
        </w:rPr>
        <w:t xml:space="preserve"> </w:t>
      </w:r>
      <w:r w:rsidRPr="00096CDE">
        <w:rPr>
          <w:rFonts w:ascii="Times New Roman" w:eastAsia="Times New Roman" w:hAnsi="Times New Roman" w:cs="Times New Roman"/>
          <w:sz w:val="20"/>
          <w:szCs w:val="20"/>
        </w:rPr>
        <w:t>shall</w:t>
      </w:r>
      <w:r w:rsidRPr="00096CDE">
        <w:rPr>
          <w:rFonts w:ascii="Times New Roman" w:eastAsia="Times New Roman" w:hAnsi="Times New Roman" w:cs="Times New Roman"/>
          <w:spacing w:val="-12"/>
          <w:sz w:val="20"/>
          <w:szCs w:val="20"/>
        </w:rPr>
        <w:t xml:space="preserve"> </w:t>
      </w:r>
      <w:r w:rsidRPr="00096CDE">
        <w:rPr>
          <w:rFonts w:ascii="Times New Roman" w:eastAsia="Times New Roman" w:hAnsi="Times New Roman" w:cs="Times New Roman"/>
          <w:sz w:val="20"/>
          <w:szCs w:val="20"/>
        </w:rPr>
        <w:t>respond,</w:t>
      </w:r>
      <w:r w:rsidRPr="00096CDE">
        <w:rPr>
          <w:rFonts w:ascii="Times New Roman" w:eastAsia="Times New Roman" w:hAnsi="Times New Roman" w:cs="Times New Roman"/>
          <w:spacing w:val="5"/>
          <w:sz w:val="20"/>
          <w:szCs w:val="20"/>
        </w:rPr>
        <w:t xml:space="preserve"> </w:t>
      </w:r>
      <w:r w:rsidRPr="00096CDE">
        <w:rPr>
          <w:rFonts w:ascii="Times New Roman" w:eastAsia="Times New Roman" w:hAnsi="Times New Roman" w:cs="Times New Roman"/>
          <w:sz w:val="20"/>
          <w:szCs w:val="20"/>
        </w:rPr>
        <w:t>in</w:t>
      </w:r>
      <w:r w:rsidRPr="00096CDE">
        <w:rPr>
          <w:rFonts w:ascii="Times New Roman" w:eastAsia="Times New Roman" w:hAnsi="Times New Roman" w:cs="Times New Roman"/>
          <w:spacing w:val="14"/>
          <w:sz w:val="20"/>
          <w:szCs w:val="20"/>
        </w:rPr>
        <w:t xml:space="preserve"> </w:t>
      </w:r>
      <w:r w:rsidRPr="00096CDE">
        <w:rPr>
          <w:rFonts w:ascii="Times New Roman" w:eastAsia="Times New Roman" w:hAnsi="Times New Roman" w:cs="Times New Roman"/>
          <w:sz w:val="20"/>
          <w:szCs w:val="20"/>
        </w:rPr>
        <w:t>writing,</w:t>
      </w:r>
      <w:r w:rsidRPr="00096CDE">
        <w:rPr>
          <w:rFonts w:ascii="Times New Roman" w:eastAsia="Times New Roman" w:hAnsi="Times New Roman" w:cs="Times New Roman"/>
          <w:spacing w:val="32"/>
          <w:sz w:val="20"/>
          <w:szCs w:val="20"/>
        </w:rPr>
        <w:t xml:space="preserve"> </w:t>
      </w:r>
      <w:r w:rsidRPr="00096CDE">
        <w:rPr>
          <w:rFonts w:ascii="Times New Roman" w:eastAsia="Times New Roman" w:hAnsi="Times New Roman" w:cs="Times New Roman"/>
          <w:sz w:val="20"/>
          <w:szCs w:val="20"/>
        </w:rPr>
        <w:t>to</w:t>
      </w:r>
      <w:r w:rsidRPr="00096CDE">
        <w:rPr>
          <w:rFonts w:ascii="Times New Roman" w:eastAsia="Times New Roman" w:hAnsi="Times New Roman" w:cs="Times New Roman"/>
          <w:spacing w:val="22"/>
          <w:sz w:val="20"/>
          <w:szCs w:val="20"/>
        </w:rPr>
        <w:t xml:space="preserve"> </w:t>
      </w:r>
      <w:r w:rsidRPr="00096CDE">
        <w:rPr>
          <w:rFonts w:ascii="Times New Roman" w:eastAsia="Times New Roman" w:hAnsi="Times New Roman" w:cs="Times New Roman"/>
          <w:w w:val="98"/>
          <w:sz w:val="20"/>
          <w:szCs w:val="20"/>
        </w:rPr>
        <w:t>each</w:t>
      </w:r>
      <w:r w:rsidRPr="00096CDE">
        <w:rPr>
          <w:rFonts w:ascii="Times New Roman" w:eastAsia="Times New Roman" w:hAnsi="Times New Roman" w:cs="Times New Roman"/>
          <w:spacing w:val="-18"/>
          <w:w w:val="98"/>
          <w:sz w:val="20"/>
          <w:szCs w:val="20"/>
        </w:rPr>
        <w:t xml:space="preserve"> </w:t>
      </w:r>
      <w:r w:rsidRPr="00096CDE">
        <w:rPr>
          <w:rFonts w:ascii="Times New Roman" w:eastAsia="Times New Roman" w:hAnsi="Times New Roman" w:cs="Times New Roman"/>
          <w:sz w:val="20"/>
          <w:szCs w:val="20"/>
        </w:rPr>
        <w:t>recommendation</w:t>
      </w:r>
      <w:r w:rsidRPr="00096CDE">
        <w:rPr>
          <w:rFonts w:ascii="Times New Roman" w:eastAsia="Times New Roman" w:hAnsi="Times New Roman" w:cs="Times New Roman"/>
          <w:spacing w:val="42"/>
          <w:sz w:val="20"/>
          <w:szCs w:val="20"/>
        </w:rPr>
        <w:t xml:space="preserve"> </w:t>
      </w:r>
      <w:r w:rsidRPr="00096CDE">
        <w:rPr>
          <w:rFonts w:ascii="Times New Roman" w:eastAsia="Times New Roman" w:hAnsi="Times New Roman" w:cs="Times New Roman"/>
          <w:sz w:val="20"/>
          <w:szCs w:val="20"/>
        </w:rPr>
        <w:t>made in</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audit</w:t>
      </w:r>
      <w:r w:rsidRPr="00096CDE">
        <w:rPr>
          <w:rFonts w:ascii="Times New Roman" w:eastAsia="Times New Roman" w:hAnsi="Times New Roman" w:cs="Times New Roman"/>
          <w:spacing w:val="28"/>
          <w:sz w:val="20"/>
          <w:szCs w:val="20"/>
        </w:rPr>
        <w:t xml:space="preserve"> </w:t>
      </w:r>
      <w:r w:rsidRPr="00096CDE">
        <w:rPr>
          <w:rFonts w:ascii="Times New Roman" w:eastAsia="Times New Roman" w:hAnsi="Times New Roman" w:cs="Times New Roman"/>
          <w:w w:val="109"/>
          <w:sz w:val="20"/>
          <w:szCs w:val="20"/>
        </w:rPr>
        <w:t>repor</w:t>
      </w:r>
      <w:r w:rsidRPr="00096CDE">
        <w:rPr>
          <w:rFonts w:ascii="Times New Roman" w:eastAsia="Times New Roman" w:hAnsi="Times New Roman" w:cs="Times New Roman"/>
          <w:spacing w:val="-9"/>
          <w:w w:val="108"/>
          <w:sz w:val="20"/>
          <w:szCs w:val="20"/>
        </w:rPr>
        <w:t>t.” Accordingly, management submitted its response to the audit findings and recommendations on</w:t>
      </w:r>
      <w:r w:rsidR="006C4DA4">
        <w:rPr>
          <w:rFonts w:ascii="Times New Roman" w:eastAsia="Times New Roman" w:hAnsi="Times New Roman" w:cs="Times New Roman"/>
          <w:spacing w:val="-9"/>
          <w:w w:val="108"/>
          <w:sz w:val="20"/>
          <w:szCs w:val="20"/>
        </w:rPr>
        <w:t xml:space="preserve"> September 24, </w:t>
      </w:r>
      <w:r w:rsidRPr="00096CDE">
        <w:rPr>
          <w:rFonts w:ascii="Times New Roman" w:eastAsia="Times New Roman" w:hAnsi="Times New Roman" w:cs="Times New Roman"/>
          <w:spacing w:val="-9"/>
          <w:w w:val="108"/>
          <w:sz w:val="20"/>
          <w:szCs w:val="20"/>
        </w:rPr>
        <w:t>2019, and such response is included in this report. P</w:t>
      </w:r>
      <w:r w:rsidRPr="00096CDE">
        <w:rPr>
          <w:rFonts w:ascii="Times New Roman" w:eastAsia="Times New Roman" w:hAnsi="Times New Roman" w:cs="Times New Roman"/>
          <w:sz w:val="20"/>
          <w:szCs w:val="20"/>
        </w:rPr>
        <w:t>ursuant</w:t>
      </w:r>
      <w:r w:rsidRPr="00096CDE">
        <w:rPr>
          <w:rFonts w:ascii="Times New Roman" w:eastAsia="Times New Roman" w:hAnsi="Times New Roman" w:cs="Times New Roman"/>
          <w:spacing w:val="-9"/>
          <w:sz w:val="20"/>
          <w:szCs w:val="20"/>
        </w:rPr>
        <w:t xml:space="preserve"> </w:t>
      </w:r>
      <w:r w:rsidRPr="00096CDE">
        <w:rPr>
          <w:rFonts w:ascii="Times New Roman" w:eastAsia="Times New Roman" w:hAnsi="Times New Roman" w:cs="Times New Roman"/>
          <w:sz w:val="20"/>
          <w:szCs w:val="20"/>
        </w:rPr>
        <w:t>to</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w w:val="89"/>
          <w:sz w:val="20"/>
          <w:szCs w:val="20"/>
        </w:rPr>
        <w:t>this statute</w:t>
      </w:r>
      <w:r w:rsidRPr="00096CDE">
        <w:rPr>
          <w:rFonts w:ascii="Times New Roman" w:eastAsia="Times New Roman" w:hAnsi="Times New Roman" w:cs="Times New Roman"/>
          <w:w w:val="103"/>
          <w:sz w:val="20"/>
          <w:szCs w:val="20"/>
        </w:rPr>
        <w:t>,</w:t>
      </w:r>
      <w:r w:rsidRPr="00096CDE">
        <w:rPr>
          <w:rFonts w:ascii="Times New Roman" w:eastAsia="Times New Roman" w:hAnsi="Times New Roman" w:cs="Times New Roman"/>
          <w:spacing w:val="-42"/>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7"/>
          <w:sz w:val="20"/>
          <w:szCs w:val="20"/>
        </w:rPr>
        <w:t xml:space="preserve"> </w:t>
      </w:r>
      <w:r w:rsidRPr="00096CDE">
        <w:rPr>
          <w:rFonts w:ascii="Times New Roman" w:eastAsia="Times New Roman" w:hAnsi="Times New Roman" w:cs="Times New Roman"/>
          <w:w w:val="99"/>
          <w:sz w:val="20"/>
          <w:szCs w:val="20"/>
        </w:rPr>
        <w:t>OIA</w:t>
      </w:r>
      <w:r w:rsidRPr="00096CDE">
        <w:rPr>
          <w:rFonts w:ascii="Times New Roman" w:eastAsia="Times New Roman" w:hAnsi="Times New Roman" w:cs="Times New Roman"/>
          <w:spacing w:val="-18"/>
          <w:w w:val="99"/>
          <w:sz w:val="20"/>
          <w:szCs w:val="20"/>
        </w:rPr>
        <w:t xml:space="preserve"> </w:t>
      </w:r>
      <w:r w:rsidRPr="00096CDE">
        <w:rPr>
          <w:rFonts w:ascii="Times New Roman" w:eastAsia="Times New Roman" w:hAnsi="Times New Roman" w:cs="Times New Roman"/>
          <w:sz w:val="20"/>
          <w:szCs w:val="20"/>
        </w:rPr>
        <w:t>may follow</w:t>
      </w:r>
      <w:r w:rsidRPr="00096CDE">
        <w:rPr>
          <w:rFonts w:ascii="Times New Roman" w:eastAsia="Times New Roman" w:hAnsi="Times New Roman" w:cs="Times New Roman"/>
          <w:spacing w:val="30"/>
          <w:sz w:val="20"/>
          <w:szCs w:val="20"/>
        </w:rPr>
        <w:t xml:space="preserve"> </w:t>
      </w:r>
      <w:r w:rsidRPr="00096CDE">
        <w:rPr>
          <w:rFonts w:ascii="Times New Roman" w:eastAsia="Times New Roman" w:hAnsi="Times New Roman" w:cs="Times New Roman"/>
          <w:sz w:val="20"/>
          <w:szCs w:val="20"/>
        </w:rPr>
        <w:t>up</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sz w:val="20"/>
          <w:szCs w:val="20"/>
        </w:rPr>
        <w:t>regarding</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sz w:val="20"/>
          <w:szCs w:val="20"/>
        </w:rPr>
        <w:t>recommendations</w:t>
      </w:r>
      <w:r w:rsidRPr="00096CDE">
        <w:rPr>
          <w:rFonts w:ascii="Times New Roman" w:eastAsia="Times New Roman" w:hAnsi="Times New Roman" w:cs="Times New Roman"/>
          <w:spacing w:val="21"/>
          <w:sz w:val="20"/>
          <w:szCs w:val="20"/>
        </w:rPr>
        <w:t xml:space="preserve"> </w:t>
      </w:r>
      <w:r w:rsidRPr="00096CDE">
        <w:rPr>
          <w:rFonts w:ascii="Times New Roman" w:eastAsia="Times New Roman" w:hAnsi="Times New Roman" w:cs="Times New Roman"/>
          <w:sz w:val="20"/>
          <w:szCs w:val="20"/>
        </w:rPr>
        <w:t>included</w:t>
      </w:r>
      <w:r w:rsidRPr="00096CDE">
        <w:rPr>
          <w:rFonts w:ascii="Times New Roman" w:eastAsia="Times New Roman" w:hAnsi="Times New Roman" w:cs="Times New Roman"/>
          <w:spacing w:val="18"/>
          <w:sz w:val="20"/>
          <w:szCs w:val="20"/>
        </w:rPr>
        <w:t xml:space="preserve"> </w:t>
      </w:r>
      <w:r w:rsidRPr="00096CDE">
        <w:rPr>
          <w:rFonts w:ascii="Times New Roman" w:eastAsia="Times New Roman" w:hAnsi="Times New Roman" w:cs="Times New Roman"/>
          <w:w w:val="120"/>
          <w:sz w:val="20"/>
          <w:szCs w:val="20"/>
        </w:rPr>
        <w:t xml:space="preserve">in </w:t>
      </w:r>
      <w:r w:rsidRPr="00096CDE">
        <w:rPr>
          <w:rFonts w:ascii="Times New Roman" w:eastAsia="Times New Roman" w:hAnsi="Times New Roman" w:cs="Times New Roman"/>
          <w:sz w:val="20"/>
          <w:szCs w:val="20"/>
        </w:rPr>
        <w:t>this</w:t>
      </w:r>
      <w:r w:rsidRPr="00096CDE">
        <w:rPr>
          <w:rFonts w:ascii="Times New Roman" w:eastAsia="Times New Roman" w:hAnsi="Times New Roman" w:cs="Times New Roman"/>
          <w:spacing w:val="15"/>
          <w:sz w:val="20"/>
          <w:szCs w:val="20"/>
        </w:rPr>
        <w:t xml:space="preserve"> </w:t>
      </w:r>
      <w:r w:rsidRPr="00096CDE">
        <w:rPr>
          <w:rFonts w:ascii="Times New Roman" w:eastAsia="Times New Roman" w:hAnsi="Times New Roman" w:cs="Times New Roman"/>
          <w:sz w:val="20"/>
          <w:szCs w:val="20"/>
        </w:rPr>
        <w:t>report</w:t>
      </w:r>
      <w:r w:rsidRPr="00096CDE">
        <w:rPr>
          <w:rFonts w:ascii="Times New Roman" w:eastAsia="Times New Roman" w:hAnsi="Times New Roman" w:cs="Times New Roman"/>
          <w:spacing w:val="33"/>
          <w:sz w:val="20"/>
          <w:szCs w:val="20"/>
        </w:rPr>
        <w:t xml:space="preserve"> </w:t>
      </w:r>
      <w:r w:rsidRPr="00096CDE">
        <w:rPr>
          <w:rFonts w:ascii="Times New Roman" w:eastAsia="Times New Roman" w:hAnsi="Times New Roman" w:cs="Times New Roman"/>
          <w:sz w:val="20"/>
          <w:szCs w:val="20"/>
        </w:rPr>
        <w:t>within</w:t>
      </w:r>
      <w:r w:rsidRPr="00096CDE">
        <w:rPr>
          <w:rFonts w:ascii="Times New Roman" w:eastAsia="Times New Roman" w:hAnsi="Times New Roman" w:cs="Times New Roman"/>
          <w:spacing w:val="36"/>
          <w:sz w:val="20"/>
          <w:szCs w:val="20"/>
        </w:rPr>
        <w:t xml:space="preserve"> </w:t>
      </w:r>
      <w:r w:rsidRPr="00096CDE">
        <w:rPr>
          <w:rFonts w:ascii="Times New Roman" w:eastAsia="Times New Roman" w:hAnsi="Times New Roman" w:cs="Times New Roman"/>
          <w:sz w:val="20"/>
          <w:szCs w:val="20"/>
        </w:rPr>
        <w:t>one</w:t>
      </w:r>
      <w:r w:rsidRPr="00096CDE">
        <w:rPr>
          <w:rFonts w:ascii="Times New Roman" w:eastAsia="Times New Roman" w:hAnsi="Times New Roman" w:cs="Times New Roman"/>
          <w:spacing w:val="3"/>
          <w:sz w:val="20"/>
          <w:szCs w:val="20"/>
        </w:rPr>
        <w:t xml:space="preserve"> </w:t>
      </w:r>
      <w:r w:rsidRPr="00096CDE">
        <w:rPr>
          <w:rFonts w:ascii="Times New Roman" w:eastAsia="Times New Roman" w:hAnsi="Times New Roman" w:cs="Times New Roman"/>
          <w:sz w:val="20"/>
          <w:szCs w:val="20"/>
        </w:rPr>
        <w:t>year</w:t>
      </w:r>
      <w:r w:rsidRPr="00096CDE">
        <w:rPr>
          <w:rFonts w:ascii="Times New Roman" w:eastAsia="Times New Roman" w:hAnsi="Times New Roman" w:cs="Times New Roman"/>
          <w:spacing w:val="-6"/>
          <w:sz w:val="20"/>
          <w:szCs w:val="20"/>
        </w:rPr>
        <w:t xml:space="preserve"> </w:t>
      </w:r>
      <w:r w:rsidRPr="00096CDE">
        <w:rPr>
          <w:rFonts w:ascii="Times New Roman" w:eastAsia="Times New Roman" w:hAnsi="Times New Roman" w:cs="Times New Roman"/>
          <w:sz w:val="20"/>
          <w:szCs w:val="20"/>
        </w:rPr>
        <w:t>following</w:t>
      </w:r>
      <w:r w:rsidRPr="00096CDE">
        <w:rPr>
          <w:rFonts w:ascii="Times New Roman" w:eastAsia="Times New Roman" w:hAnsi="Times New Roman" w:cs="Times New Roman"/>
          <w:spacing w:val="47"/>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6"/>
          <w:sz w:val="20"/>
          <w:szCs w:val="20"/>
        </w:rPr>
        <w:t xml:space="preserve"> </w:t>
      </w:r>
      <w:r w:rsidRPr="00096CDE">
        <w:rPr>
          <w:rFonts w:ascii="Times New Roman" w:eastAsia="Times New Roman" w:hAnsi="Times New Roman" w:cs="Times New Roman"/>
          <w:sz w:val="20"/>
          <w:szCs w:val="20"/>
        </w:rPr>
        <w:t>date</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w w:val="97"/>
          <w:sz w:val="20"/>
          <w:szCs w:val="20"/>
        </w:rPr>
        <w:t>issuance</w:t>
      </w:r>
      <w:r w:rsidRPr="00096CDE">
        <w:rPr>
          <w:rFonts w:ascii="Times New Roman" w:eastAsia="Times New Roman" w:hAnsi="Times New Roman" w:cs="Times New Roman"/>
          <w:w w:val="109"/>
          <w:sz w:val="20"/>
          <w:szCs w:val="20"/>
        </w:rPr>
        <w:t>.</w:t>
      </w:r>
    </w:p>
    <w:p w14:paraId="02184237" w14:textId="77777777" w:rsidR="00882AC0" w:rsidRPr="00096CDE" w:rsidRDefault="00882AC0" w:rsidP="00882AC0">
      <w:pPr>
        <w:widowControl w:val="0"/>
        <w:spacing w:after="0" w:line="240" w:lineRule="auto"/>
        <w:ind w:right="720"/>
        <w:jc w:val="both"/>
        <w:rPr>
          <w:rFonts w:ascii="Times New Roman" w:eastAsia="Times New Roman" w:hAnsi="Times New Roman" w:cs="Times New Roman"/>
          <w:w w:val="109"/>
          <w:sz w:val="20"/>
          <w:szCs w:val="20"/>
        </w:rPr>
      </w:pPr>
    </w:p>
    <w:p w14:paraId="77B0E862" w14:textId="77777777" w:rsidR="00882AC0" w:rsidRPr="00096CDE" w:rsidRDefault="00882AC0" w:rsidP="00882AC0">
      <w:pPr>
        <w:widowControl w:val="0"/>
        <w:spacing w:after="0" w:line="240" w:lineRule="auto"/>
        <w:ind w:right="7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 xml:space="preserve">We would like to express our sincere appreciation to the </w:t>
      </w:r>
      <w:r w:rsidR="00F65606">
        <w:rPr>
          <w:rFonts w:ascii="Times New Roman" w:eastAsia="Times New Roman" w:hAnsi="Times New Roman" w:cs="Times New Roman"/>
          <w:sz w:val="20"/>
          <w:szCs w:val="20"/>
        </w:rPr>
        <w:t>IRBA</w:t>
      </w:r>
      <w:r>
        <w:rPr>
          <w:rFonts w:ascii="Times New Roman" w:eastAsia="Times New Roman" w:hAnsi="Times New Roman" w:cs="Times New Roman"/>
          <w:sz w:val="20"/>
          <w:szCs w:val="20"/>
        </w:rPr>
        <w:t xml:space="preserve"> staff </w:t>
      </w:r>
      <w:r w:rsidRPr="00096CDE">
        <w:rPr>
          <w:rFonts w:ascii="Times New Roman" w:eastAsia="Times New Roman" w:hAnsi="Times New Roman" w:cs="Times New Roman"/>
          <w:sz w:val="20"/>
          <w:szCs w:val="20"/>
        </w:rPr>
        <w:t>for the cooperation and courtesy extended to the members of our team during this audit.</w:t>
      </w:r>
    </w:p>
    <w:p w14:paraId="58CFDE7B" w14:textId="77777777" w:rsidR="00882AC0" w:rsidRPr="00096CDE" w:rsidRDefault="00882AC0" w:rsidP="00882AC0">
      <w:pPr>
        <w:widowControl w:val="0"/>
        <w:spacing w:after="0" w:line="240" w:lineRule="auto"/>
        <w:ind w:right="720" w:firstLine="130"/>
        <w:jc w:val="both"/>
        <w:rPr>
          <w:rFonts w:ascii="Times New Roman" w:eastAsia="Times New Roman" w:hAnsi="Times New Roman" w:cs="Times New Roman"/>
          <w:sz w:val="20"/>
          <w:szCs w:val="20"/>
        </w:rPr>
      </w:pPr>
    </w:p>
    <w:p w14:paraId="3996EE39" w14:textId="77777777" w:rsidR="00882AC0" w:rsidRPr="00096CDE" w:rsidRDefault="00882AC0" w:rsidP="00882AC0">
      <w:pPr>
        <w:widowControl w:val="0"/>
        <w:spacing w:after="0" w:line="240" w:lineRule="auto"/>
        <w:jc w:val="both"/>
        <w:rPr>
          <w:rFonts w:ascii="Times New Roman" w:eastAsia="Times New Roman" w:hAnsi="Times New Roman" w:cs="Times New Roman"/>
          <w:w w:val="101"/>
          <w:sz w:val="20"/>
          <w:szCs w:val="20"/>
        </w:rPr>
      </w:pPr>
      <w:r w:rsidRPr="00096CDE">
        <w:rPr>
          <w:rFonts w:ascii="Times New Roman" w:eastAsia="Times New Roman" w:hAnsi="Times New Roman" w:cs="Times New Roman"/>
          <w:sz w:val="20"/>
          <w:szCs w:val="20"/>
        </w:rPr>
        <w:t>Respectfully</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w w:val="101"/>
          <w:sz w:val="20"/>
          <w:szCs w:val="20"/>
        </w:rPr>
        <w:t>yours,</w:t>
      </w:r>
    </w:p>
    <w:p w14:paraId="6E3DDCDE" w14:textId="77777777" w:rsidR="00882AC0" w:rsidRPr="00096CDE" w:rsidRDefault="00882AC0" w:rsidP="00882AC0">
      <w:pPr>
        <w:widowControl w:val="0"/>
        <w:spacing w:after="0" w:line="400" w:lineRule="auto"/>
        <w:ind w:firstLine="130"/>
        <w:jc w:val="both"/>
        <w:rPr>
          <w:rFonts w:ascii="Times New Roman" w:eastAsia="Times New Roman" w:hAnsi="Times New Roman" w:cs="Times New Roman"/>
          <w:w w:val="106"/>
          <w:sz w:val="20"/>
          <w:szCs w:val="20"/>
        </w:rPr>
      </w:pPr>
    </w:p>
    <w:p w14:paraId="564F1A85" w14:textId="77777777" w:rsidR="00882AC0" w:rsidRPr="00096CDE" w:rsidRDefault="00882AC0" w:rsidP="00882AC0">
      <w:pPr>
        <w:widowControl w:val="0"/>
        <w:spacing w:after="0" w:line="100" w:lineRule="exact"/>
        <w:jc w:val="both"/>
        <w:rPr>
          <w:rFonts w:ascii="Times New Roman" w:eastAsia="Times New Roman" w:hAnsi="Times New Roman" w:cs="Times New Roman"/>
          <w:sz w:val="20"/>
          <w:szCs w:val="20"/>
        </w:rPr>
      </w:pPr>
    </w:p>
    <w:p w14:paraId="33B9537B" w14:textId="77777777" w:rsidR="00882AC0" w:rsidRPr="00096CDE" w:rsidRDefault="00882AC0" w:rsidP="00882AC0">
      <w:pPr>
        <w:widowControl w:val="0"/>
        <w:spacing w:after="0" w:line="100" w:lineRule="exact"/>
        <w:jc w:val="both"/>
        <w:rPr>
          <w:rFonts w:ascii="Times New Roman" w:eastAsia="Times New Roman" w:hAnsi="Times New Roman" w:cs="Times New Roman"/>
          <w:sz w:val="20"/>
          <w:szCs w:val="20"/>
        </w:rPr>
      </w:pPr>
    </w:p>
    <w:p w14:paraId="67C4767D" w14:textId="77777777" w:rsidR="00882AC0" w:rsidRPr="00096CDE" w:rsidRDefault="00882AC0" w:rsidP="00882AC0">
      <w:pPr>
        <w:widowControl w:val="0"/>
        <w:spacing w:after="0" w:line="200" w:lineRule="exact"/>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 xml:space="preserve">Dorothy Z. Pascale, CPA </w:t>
      </w:r>
    </w:p>
    <w:p w14:paraId="77028D52" w14:textId="77777777" w:rsidR="00882AC0" w:rsidRPr="00096CDE" w:rsidRDefault="00882AC0" w:rsidP="00882AC0">
      <w:pPr>
        <w:widowControl w:val="0"/>
        <w:spacing w:after="0" w:line="240" w:lineRule="auto"/>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Chief</w:t>
      </w:r>
    </w:p>
    <w:p w14:paraId="37F482EB" w14:textId="77777777" w:rsidR="00882AC0" w:rsidRPr="00096CDE" w:rsidRDefault="00882AC0" w:rsidP="00882AC0">
      <w:pPr>
        <w:widowControl w:val="0"/>
        <w:tabs>
          <w:tab w:val="left" w:pos="840"/>
        </w:tabs>
        <w:spacing w:before="16" w:after="0" w:line="240" w:lineRule="auto"/>
        <w:ind w:right="-20"/>
        <w:jc w:val="both"/>
        <w:rPr>
          <w:rFonts w:ascii="Times New Roman" w:eastAsia="Times New Roman" w:hAnsi="Times New Roman" w:cs="Times New Roman"/>
          <w:sz w:val="20"/>
          <w:szCs w:val="20"/>
        </w:rPr>
      </w:pPr>
    </w:p>
    <w:p w14:paraId="3A4F3C3A" w14:textId="77777777" w:rsidR="00882AC0" w:rsidRPr="00096CDE" w:rsidRDefault="00882AC0" w:rsidP="00882AC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sz w:val="20"/>
          <w:szCs w:val="20"/>
        </w:rPr>
        <w:t>c—</w:t>
      </w:r>
      <w:r w:rsidRPr="00096CDE">
        <w:rPr>
          <w:rFonts w:ascii="Times New Roman" w:eastAsia="Times New Roman" w:hAnsi="Times New Roman" w:cs="Times New Roman"/>
          <w:w w:val="104"/>
          <w:sz w:val="20"/>
          <w:szCs w:val="20"/>
        </w:rPr>
        <w:t>Honorable William J. Conley Jr., Chairperson, Senate Committee on Finance</w:t>
      </w:r>
    </w:p>
    <w:p w14:paraId="0CC64228" w14:textId="77777777" w:rsidR="00882AC0" w:rsidRPr="00096CDE" w:rsidRDefault="00882AC0" w:rsidP="00882AC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Honorable Marvin Abney, Chairperson, House Finance Committee</w:t>
      </w:r>
    </w:p>
    <w:p w14:paraId="2CE4BE24" w14:textId="77777777" w:rsidR="00882AC0" w:rsidRPr="00096CDE" w:rsidRDefault="00882AC0" w:rsidP="00882AC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Internal Audit Advisory Group</w:t>
      </w:r>
    </w:p>
    <w:p w14:paraId="5E5F3B1A" w14:textId="77777777" w:rsidR="00882AC0" w:rsidRPr="00096CDE" w:rsidRDefault="00882AC0" w:rsidP="00882AC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Steven Whitney, Senate Fiscal Office</w:t>
      </w:r>
    </w:p>
    <w:p w14:paraId="51166907" w14:textId="72FF7347" w:rsidR="008D5CC2" w:rsidRDefault="00882AC0" w:rsidP="008D5CC2">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David Trembly, Senate Fiscal Office</w:t>
      </w:r>
    </w:p>
    <w:p w14:paraId="4CF65890" w14:textId="77C77BA9" w:rsidR="008D5CC2" w:rsidRPr="00096CDE" w:rsidRDefault="008D5CC2" w:rsidP="008D5CC2">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Pr>
          <w:rFonts w:ascii="Times New Roman" w:eastAsia="Times New Roman" w:hAnsi="Times New Roman" w:cs="Times New Roman"/>
          <w:w w:val="104"/>
          <w:sz w:val="20"/>
          <w:szCs w:val="20"/>
        </w:rPr>
        <w:tab/>
        <w:t xml:space="preserve">John R. Gowell Jr., Chair, Industrial Recreational Building Authority Board of Directors </w:t>
      </w:r>
    </w:p>
    <w:p w14:paraId="58CFF8B5" w14:textId="77777777" w:rsidR="00882AC0" w:rsidRPr="002E7137" w:rsidRDefault="00882AC0" w:rsidP="00882AC0">
      <w:pPr>
        <w:jc w:val="both"/>
        <w:rPr>
          <w:rFonts w:ascii="Cambria" w:hAnsi="Cambria"/>
          <w:b/>
          <w:bCs/>
          <w:color w:val="365F91"/>
          <w:sz w:val="28"/>
          <w:szCs w:val="28"/>
        </w:rPr>
      </w:pPr>
      <w:r w:rsidRPr="00A106A6">
        <w:rPr>
          <w:rFonts w:ascii="Calibri" w:eastAsia="Calibri" w:hAnsi="Calibri"/>
          <w:noProof/>
        </w:rPr>
        <w:lastRenderedPageBreak/>
        <mc:AlternateContent>
          <mc:Choice Requires="wps">
            <w:drawing>
              <wp:anchor distT="0" distB="0" distL="114300" distR="114300" simplePos="0" relativeHeight="251659264" behindDoc="0" locked="0" layoutInCell="0" allowOverlap="1" wp14:anchorId="11420183" wp14:editId="2C40BD28">
                <wp:simplePos x="0" y="0"/>
                <wp:positionH relativeFrom="page">
                  <wp:posOffset>609600</wp:posOffset>
                </wp:positionH>
                <wp:positionV relativeFrom="page">
                  <wp:posOffset>476250</wp:posOffset>
                </wp:positionV>
                <wp:extent cx="3164205" cy="9144000"/>
                <wp:effectExtent l="0" t="247650" r="226695" b="0"/>
                <wp:wrapSquare wrapText="bothSides"/>
                <wp:docPr id="3"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9144000"/>
                        </a:xfrm>
                        <a:prstGeom prst="rect">
                          <a:avLst/>
                        </a:prstGeom>
                        <a:solidFill>
                          <a:srgbClr val="DBE5F1">
                            <a:alpha val="87057"/>
                          </a:srgbClr>
                        </a:solidFill>
                        <a:ln>
                          <a:noFill/>
                        </a:ln>
                        <a:effectLst>
                          <a:outerShdw dist="317500" dir="18728253" sx="100101" sy="100101" algn="ctr" rotWithShape="0">
                            <a:srgbClr val="D4CFB3">
                              <a:alpha val="45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BB1F8E6" w14:textId="77777777" w:rsidR="00882AC0" w:rsidRPr="00E84070" w:rsidRDefault="00882AC0" w:rsidP="00882AC0">
                            <w:pPr>
                              <w:rPr>
                                <w:sz w:val="32"/>
                                <w:szCs w:val="32"/>
                              </w:rPr>
                            </w:pPr>
                            <w:r w:rsidRPr="00E95383">
                              <w:rPr>
                                <w:b/>
                                <w:sz w:val="32"/>
                                <w:szCs w:val="32"/>
                              </w:rPr>
                              <w:t>Audit</w:t>
                            </w:r>
                            <w:r w:rsidRPr="00E84070">
                              <w:rPr>
                                <w:b/>
                                <w:sz w:val="32"/>
                                <w:szCs w:val="32"/>
                              </w:rPr>
                              <w:t xml:space="preserve"> E</w:t>
                            </w:r>
                            <w:r w:rsidRPr="00275961">
                              <w:rPr>
                                <w:b/>
                                <w:sz w:val="32"/>
                                <w:szCs w:val="32"/>
                              </w:rPr>
                              <w:t xml:space="preserve">xecutive </w:t>
                            </w:r>
                            <w:r w:rsidRPr="00E84070">
                              <w:rPr>
                                <w:b/>
                                <w:sz w:val="32"/>
                                <w:szCs w:val="32"/>
                              </w:rPr>
                              <w:t>S</w:t>
                            </w:r>
                            <w:r w:rsidRPr="00275961">
                              <w:rPr>
                                <w:b/>
                                <w:sz w:val="32"/>
                                <w:szCs w:val="32"/>
                              </w:rPr>
                              <w:t>ummary</w:t>
                            </w:r>
                          </w:p>
                          <w:p w14:paraId="45A652C4" w14:textId="77777777" w:rsidR="00882AC0" w:rsidRPr="00D570AD" w:rsidRDefault="00882AC0" w:rsidP="00882AC0">
                            <w:pPr>
                              <w:widowControl w:val="0"/>
                              <w:rPr>
                                <w:i/>
                                <w:iCs/>
                                <w:color w:val="1F497D"/>
                              </w:rPr>
                            </w:pPr>
                          </w:p>
                          <w:p w14:paraId="18C20ECD" w14:textId="77777777" w:rsidR="00882AC0" w:rsidRDefault="00882AC0" w:rsidP="00882AC0">
                            <w:pPr>
                              <w:jc w:val="both"/>
                              <w:rPr>
                                <w:b/>
                              </w:rPr>
                            </w:pPr>
                            <w:r w:rsidRPr="008068D3">
                              <w:rPr>
                                <w:b/>
                              </w:rPr>
                              <w:t xml:space="preserve">Why the </w:t>
                            </w:r>
                            <w:r>
                              <w:rPr>
                                <w:b/>
                              </w:rPr>
                              <w:t>Office of Internal Audit</w:t>
                            </w:r>
                            <w:r w:rsidRPr="008068D3">
                              <w:rPr>
                                <w:b/>
                              </w:rPr>
                              <w:t xml:space="preserve"> Did This Review</w:t>
                            </w:r>
                          </w:p>
                          <w:p w14:paraId="67BE7E5A" w14:textId="77777777" w:rsidR="00882AC0" w:rsidRDefault="00882AC0" w:rsidP="00882AC0">
                            <w:pPr>
                              <w:rPr>
                                <w:rFonts w:cstheme="minorHAnsi"/>
                              </w:rPr>
                            </w:pPr>
                            <w:r w:rsidRPr="00AD19FD">
                              <w:rPr>
                                <w:rFonts w:cstheme="minorHAnsi"/>
                              </w:rPr>
                              <w:t>Rhode Island General Law 42-155-7, Audit of quasi-public corporations, requires the Office of Internal Audit (OIA) to conduct a performance audit of all quasi-public corporations once every five years.  The OIA established an initial five-year schedule; this audit of the</w:t>
                            </w:r>
                            <w:r w:rsidR="00DA6DE9">
                              <w:rPr>
                                <w:rFonts w:cstheme="minorHAnsi"/>
                              </w:rPr>
                              <w:t xml:space="preserve"> Rhode Island Industrial Recreational Building Authority</w:t>
                            </w:r>
                            <w:r w:rsidRPr="00AD19FD">
                              <w:rPr>
                                <w:rFonts w:cstheme="minorHAnsi"/>
                              </w:rPr>
                              <w:t xml:space="preserve"> </w:t>
                            </w:r>
                            <w:r w:rsidR="00DA6DE9">
                              <w:rPr>
                                <w:rFonts w:cstheme="minorHAnsi"/>
                              </w:rPr>
                              <w:t xml:space="preserve">(IRBA) </w:t>
                            </w:r>
                            <w:r w:rsidRPr="00AD19FD">
                              <w:rPr>
                                <w:rFonts w:cstheme="minorHAnsi"/>
                              </w:rPr>
                              <w:t>was performed in compliance with the statue</w:t>
                            </w:r>
                            <w:r>
                              <w:rPr>
                                <w:rFonts w:cstheme="minorHAnsi"/>
                              </w:rPr>
                              <w:t xml:space="preserve"> and the established schedule. </w:t>
                            </w:r>
                          </w:p>
                          <w:p w14:paraId="12021F29" w14:textId="77777777" w:rsidR="00882AC0" w:rsidRPr="00AD19FD" w:rsidRDefault="00882AC0" w:rsidP="00882AC0">
                            <w:pPr>
                              <w:rPr>
                                <w:rFonts w:cstheme="minorHAnsi"/>
                              </w:rPr>
                            </w:pPr>
                            <w:r>
                              <w:rPr>
                                <w:rFonts w:cstheme="minorHAnsi"/>
                              </w:rPr>
                              <w:t xml:space="preserve">The OIA conducted a limited scope audit of the </w:t>
                            </w:r>
                            <w:r w:rsidR="00DA6DE9">
                              <w:rPr>
                                <w:rFonts w:cstheme="minorHAnsi"/>
                              </w:rPr>
                              <w:t>IRBA</w:t>
                            </w:r>
                            <w:r>
                              <w:rPr>
                                <w:rFonts w:cstheme="minorHAnsi"/>
                              </w:rPr>
                              <w:t xml:space="preserve"> to review its compliance with the Quasi-Public Corporations Accountability and Transparency Act as well as evaluate whether operations were being administered efficient</w:t>
                            </w:r>
                            <w:r w:rsidR="00DA6DE9">
                              <w:rPr>
                                <w:rFonts w:cstheme="minorHAnsi"/>
                              </w:rPr>
                              <w:t>ly</w:t>
                            </w:r>
                            <w:r>
                              <w:rPr>
                                <w:rFonts w:cstheme="minorHAnsi"/>
                              </w:rPr>
                              <w:t xml:space="preserve"> and effectively and in accordance with applicable rules and regulations. </w:t>
                            </w:r>
                          </w:p>
                          <w:p w14:paraId="767220E9" w14:textId="77777777" w:rsidR="00882AC0" w:rsidRPr="00EE7726" w:rsidRDefault="00882AC0" w:rsidP="00882AC0">
                            <w:pPr>
                              <w:rPr>
                                <w:rFonts w:cstheme="minorHAnsi"/>
                              </w:rPr>
                            </w:pPr>
                          </w:p>
                          <w:p w14:paraId="1365939E" w14:textId="77777777" w:rsidR="00882AC0" w:rsidRPr="001E6E94" w:rsidRDefault="00882AC0" w:rsidP="00882AC0">
                            <w:pPr>
                              <w:rPr>
                                <w:b/>
                              </w:rPr>
                            </w:pPr>
                            <w:r w:rsidRPr="001E6E94">
                              <w:rPr>
                                <w:b/>
                              </w:rPr>
                              <w:t>Background Information</w:t>
                            </w:r>
                          </w:p>
                          <w:p w14:paraId="3ADCC960" w14:textId="77777777" w:rsidR="00DA6DE9" w:rsidRDefault="00DA6DE9" w:rsidP="00DA6DE9">
                            <w:r>
                              <w:t xml:space="preserve">The Rhode Island Industrial-Recreational Building Authority (IRBA) was created for the purpose of nurturing economic growth with Rhode Island by insuring mortgage payments on industrial or recreational projects approved by the authority.  The Authority maintains a first security position in all projects as required by statute.  Funds can be used for new building acquisitions, additions and rehabilitation of existing buildings and for new or used machinery and equipment. </w:t>
                            </w:r>
                          </w:p>
                          <w:p w14:paraId="43262B76" w14:textId="77777777" w:rsidR="00882AC0" w:rsidRPr="001E6E94" w:rsidRDefault="00882AC0" w:rsidP="00882AC0">
                            <w:pPr>
                              <w:jc w:val="both"/>
                            </w:pP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0183" id="Rectangle 399" o:spid="_x0000_s1026" style="position:absolute;left:0;text-align:left;margin-left:48pt;margin-top:37.5pt;width:249.15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" o:allowincell="f" fillcolor="#dbe5f1" stroked="f">
                <v:fill opacity="57054f"/>
                <v:shadow on="t" type="perspective" color="#d4cfb3" opacity="29491f" offset="5.91708mm,-6.53994mm" matrix="65602f,,,65602f"/>
                <v:textbox inset="28.8pt,7.2pt,14.4pt,7.2pt">
                  <w:txbxContent>
                    <w:p w14:paraId="0BB1F8E6" w14:textId="77777777" w:rsidR="00882AC0" w:rsidRPr="00E84070" w:rsidRDefault="00882AC0" w:rsidP="00882AC0">
                      <w:pPr>
                        <w:rPr>
                          <w:sz w:val="32"/>
                          <w:szCs w:val="32"/>
                        </w:rPr>
                      </w:pPr>
                      <w:r w:rsidRPr="00E95383">
                        <w:rPr>
                          <w:b/>
                          <w:sz w:val="32"/>
                          <w:szCs w:val="32"/>
                        </w:rPr>
                        <w:t>Audit</w:t>
                      </w:r>
                      <w:r w:rsidRPr="00E84070">
                        <w:rPr>
                          <w:b/>
                          <w:sz w:val="32"/>
                          <w:szCs w:val="32"/>
                        </w:rPr>
                        <w:t xml:space="preserve"> E</w:t>
                      </w:r>
                      <w:r w:rsidRPr="00275961">
                        <w:rPr>
                          <w:b/>
                          <w:sz w:val="32"/>
                          <w:szCs w:val="32"/>
                        </w:rPr>
                        <w:t xml:space="preserve">xecutive </w:t>
                      </w:r>
                      <w:r w:rsidRPr="00E84070">
                        <w:rPr>
                          <w:b/>
                          <w:sz w:val="32"/>
                          <w:szCs w:val="32"/>
                        </w:rPr>
                        <w:t>S</w:t>
                      </w:r>
                      <w:r w:rsidRPr="00275961">
                        <w:rPr>
                          <w:b/>
                          <w:sz w:val="32"/>
                          <w:szCs w:val="32"/>
                        </w:rPr>
                        <w:t>ummary</w:t>
                      </w:r>
                    </w:p>
                    <w:p w14:paraId="45A652C4" w14:textId="77777777" w:rsidR="00882AC0" w:rsidRPr="00D570AD" w:rsidRDefault="00882AC0" w:rsidP="00882AC0">
                      <w:pPr>
                        <w:widowControl w:val="0"/>
                        <w:rPr>
                          <w:i/>
                          <w:iCs/>
                          <w:color w:val="1F497D"/>
                        </w:rPr>
                      </w:pPr>
                    </w:p>
                    <w:p w14:paraId="18C20ECD" w14:textId="77777777" w:rsidR="00882AC0" w:rsidRDefault="00882AC0" w:rsidP="00882AC0">
                      <w:pPr>
                        <w:jc w:val="both"/>
                        <w:rPr>
                          <w:b/>
                        </w:rPr>
                      </w:pPr>
                      <w:r w:rsidRPr="008068D3">
                        <w:rPr>
                          <w:b/>
                        </w:rPr>
                        <w:t xml:space="preserve">Why the </w:t>
                      </w:r>
                      <w:r>
                        <w:rPr>
                          <w:b/>
                        </w:rPr>
                        <w:t>Office of Internal Audit</w:t>
                      </w:r>
                      <w:r w:rsidRPr="008068D3">
                        <w:rPr>
                          <w:b/>
                        </w:rPr>
                        <w:t xml:space="preserve"> Did This Review</w:t>
                      </w:r>
                    </w:p>
                    <w:p w14:paraId="67BE7E5A" w14:textId="77777777" w:rsidR="00882AC0" w:rsidRDefault="00882AC0" w:rsidP="00882AC0">
                      <w:pPr>
                        <w:rPr>
                          <w:rFonts w:cstheme="minorHAnsi"/>
                        </w:rPr>
                      </w:pPr>
                      <w:r w:rsidRPr="00AD19FD">
                        <w:rPr>
                          <w:rFonts w:cstheme="minorHAnsi"/>
                        </w:rPr>
                        <w:t>Rhode Island General Law 42-155-7, Audit of quasi-public corporations, requires the Office of Internal Audit (OIA) to conduct a performance audit of all quasi-public corporations once every five years.  The OIA established an initial five-year schedule; this audit of the</w:t>
                      </w:r>
                      <w:r w:rsidR="00DA6DE9">
                        <w:rPr>
                          <w:rFonts w:cstheme="minorHAnsi"/>
                        </w:rPr>
                        <w:t xml:space="preserve"> Rhode Island Industrial Recreational Building Authority</w:t>
                      </w:r>
                      <w:r w:rsidRPr="00AD19FD">
                        <w:rPr>
                          <w:rFonts w:cstheme="minorHAnsi"/>
                        </w:rPr>
                        <w:t xml:space="preserve"> </w:t>
                      </w:r>
                      <w:r w:rsidR="00DA6DE9">
                        <w:rPr>
                          <w:rFonts w:cstheme="minorHAnsi"/>
                        </w:rPr>
                        <w:t xml:space="preserve">(IRBA) </w:t>
                      </w:r>
                      <w:r w:rsidRPr="00AD19FD">
                        <w:rPr>
                          <w:rFonts w:cstheme="minorHAnsi"/>
                        </w:rPr>
                        <w:t>was performed in compliance with the statue</w:t>
                      </w:r>
                      <w:r>
                        <w:rPr>
                          <w:rFonts w:cstheme="minorHAnsi"/>
                        </w:rPr>
                        <w:t xml:space="preserve"> and the established schedule. </w:t>
                      </w:r>
                    </w:p>
                    <w:p w14:paraId="12021F29" w14:textId="77777777" w:rsidR="00882AC0" w:rsidRPr="00AD19FD" w:rsidRDefault="00882AC0" w:rsidP="00882AC0">
                      <w:pPr>
                        <w:rPr>
                          <w:rFonts w:cstheme="minorHAnsi"/>
                        </w:rPr>
                      </w:pPr>
                      <w:r>
                        <w:rPr>
                          <w:rFonts w:cstheme="minorHAnsi"/>
                        </w:rPr>
                        <w:t xml:space="preserve">The OIA conducted a limited scope audit of the </w:t>
                      </w:r>
                      <w:r w:rsidR="00DA6DE9">
                        <w:rPr>
                          <w:rFonts w:cstheme="minorHAnsi"/>
                        </w:rPr>
                        <w:t>IRBA</w:t>
                      </w:r>
                      <w:r>
                        <w:rPr>
                          <w:rFonts w:cstheme="minorHAnsi"/>
                        </w:rPr>
                        <w:t xml:space="preserve"> to review its compliance with the Quasi-Public Corporations Accountability and Transparency Act as well as evaluate whether operations were being administered efficient</w:t>
                      </w:r>
                      <w:r w:rsidR="00DA6DE9">
                        <w:rPr>
                          <w:rFonts w:cstheme="minorHAnsi"/>
                        </w:rPr>
                        <w:t>ly</w:t>
                      </w:r>
                      <w:r>
                        <w:rPr>
                          <w:rFonts w:cstheme="minorHAnsi"/>
                        </w:rPr>
                        <w:t xml:space="preserve"> and effectively and in accordance with applicable rules and regulations. </w:t>
                      </w:r>
                    </w:p>
                    <w:p w14:paraId="767220E9" w14:textId="77777777" w:rsidR="00882AC0" w:rsidRPr="00EE7726" w:rsidRDefault="00882AC0" w:rsidP="00882AC0">
                      <w:pPr>
                        <w:rPr>
                          <w:rFonts w:cstheme="minorHAnsi"/>
                        </w:rPr>
                      </w:pPr>
                    </w:p>
                    <w:p w14:paraId="1365939E" w14:textId="77777777" w:rsidR="00882AC0" w:rsidRPr="001E6E94" w:rsidRDefault="00882AC0" w:rsidP="00882AC0">
                      <w:pPr>
                        <w:rPr>
                          <w:b/>
                        </w:rPr>
                      </w:pPr>
                      <w:r w:rsidRPr="001E6E94">
                        <w:rPr>
                          <w:b/>
                        </w:rPr>
                        <w:t>Background Information</w:t>
                      </w:r>
                    </w:p>
                    <w:p w14:paraId="3ADCC960" w14:textId="77777777" w:rsidR="00DA6DE9" w:rsidRDefault="00DA6DE9" w:rsidP="00DA6DE9">
                      <w:r>
                        <w:t xml:space="preserve">The Rhode Island Industrial-Recreational Building Authority (IRBA) was created for the purpose of nurturing economic growth with Rhode Island by insuring mortgage payments on industrial or recreational projects approved by the authority.  The Authority maintains a first security position in all projects as required by statute.  Funds can be used for new building acquisitions, additions and rehabilitation of existing buildings and for new or used machinery and equipment. </w:t>
                      </w:r>
                    </w:p>
                    <w:p w14:paraId="43262B76" w14:textId="77777777" w:rsidR="00882AC0" w:rsidRPr="001E6E94" w:rsidRDefault="00882AC0" w:rsidP="00882AC0">
                      <w:pPr>
                        <w:jc w:val="both"/>
                      </w:pPr>
                    </w:p>
                  </w:txbxContent>
                </v:textbox>
                <w10:wrap type="square" anchorx="page" anchory="page"/>
              </v:rect>
            </w:pict>
          </mc:Fallback>
        </mc:AlternateContent>
      </w:r>
      <w:r>
        <w:rPr>
          <w:b/>
        </w:rPr>
        <w:t xml:space="preserve">To Strengthen Controls, the </w:t>
      </w:r>
      <w:r w:rsidR="00DA6DE9">
        <w:rPr>
          <w:b/>
        </w:rPr>
        <w:t>Rhode Island Industrial Recreational Building Authority</w:t>
      </w:r>
      <w:r>
        <w:rPr>
          <w:b/>
        </w:rPr>
        <w:t xml:space="preserve"> </w:t>
      </w:r>
      <w:r w:rsidRPr="006D4E7F">
        <w:rPr>
          <w:b/>
        </w:rPr>
        <w:t>should</w:t>
      </w:r>
      <w:r>
        <w:rPr>
          <w:b/>
        </w:rPr>
        <w:t>:</w:t>
      </w:r>
    </w:p>
    <w:p w14:paraId="3D8521A1" w14:textId="77777777" w:rsidR="00882AC0" w:rsidRPr="002E7137" w:rsidRDefault="00882AC0" w:rsidP="00882AC0">
      <w:pPr>
        <w:pStyle w:val="ListParagraph"/>
        <w:rPr>
          <w:rFonts w:asciiTheme="minorHAnsi" w:hAnsiTheme="minorHAnsi"/>
          <w:sz w:val="22"/>
          <w:szCs w:val="22"/>
        </w:rPr>
      </w:pPr>
    </w:p>
    <w:p w14:paraId="781C1394" w14:textId="77777777" w:rsidR="00EE132D" w:rsidRPr="002E7137" w:rsidRDefault="00EE132D" w:rsidP="00EE132D">
      <w:pPr>
        <w:pStyle w:val="ListParagraph"/>
        <w:numPr>
          <w:ilvl w:val="0"/>
          <w:numId w:val="3"/>
        </w:numPr>
        <w:spacing w:after="180" w:line="276" w:lineRule="auto"/>
        <w:rPr>
          <w:rFonts w:asciiTheme="minorHAnsi" w:hAnsiTheme="minorHAnsi"/>
          <w:color w:val="000000"/>
          <w:sz w:val="22"/>
          <w:szCs w:val="22"/>
          <w:u w:color="000000"/>
        </w:rPr>
      </w:pPr>
      <w:r>
        <w:rPr>
          <w:rFonts w:asciiTheme="minorHAnsi" w:hAnsiTheme="minorHAnsi"/>
          <w:sz w:val="22"/>
          <w:szCs w:val="22"/>
        </w:rPr>
        <w:t xml:space="preserve">Increase monitoring of bond insurance premium payments. </w:t>
      </w:r>
    </w:p>
    <w:p w14:paraId="1F7F779A" w14:textId="6827FD4A" w:rsidR="00EE132D" w:rsidRDefault="00EE132D" w:rsidP="00EE132D">
      <w:pPr>
        <w:pStyle w:val="ListParagraph"/>
        <w:spacing w:after="180" w:line="276" w:lineRule="auto"/>
        <w:rPr>
          <w:rFonts w:asciiTheme="minorHAnsi" w:hAnsiTheme="minorHAnsi"/>
          <w:color w:val="000000"/>
          <w:sz w:val="22"/>
          <w:szCs w:val="22"/>
          <w:u w:color="000000"/>
        </w:rPr>
      </w:pPr>
    </w:p>
    <w:p w14:paraId="612CE8B5" w14:textId="77777777" w:rsidR="00EE132D" w:rsidRPr="00EE132D" w:rsidRDefault="00EE132D" w:rsidP="00EE132D">
      <w:pPr>
        <w:pStyle w:val="ListParagraph"/>
        <w:spacing w:after="180" w:line="276" w:lineRule="auto"/>
        <w:rPr>
          <w:rFonts w:asciiTheme="minorHAnsi" w:hAnsiTheme="minorHAnsi"/>
          <w:color w:val="000000"/>
          <w:sz w:val="22"/>
          <w:szCs w:val="22"/>
          <w:u w:color="000000"/>
        </w:rPr>
      </w:pPr>
    </w:p>
    <w:p w14:paraId="3767EA37" w14:textId="2EC39031" w:rsidR="00882AC0" w:rsidRPr="00D26926" w:rsidRDefault="00882AC0" w:rsidP="00882AC0">
      <w:pPr>
        <w:pStyle w:val="ListParagraph"/>
        <w:numPr>
          <w:ilvl w:val="0"/>
          <w:numId w:val="3"/>
        </w:numPr>
        <w:spacing w:after="180" w:line="276" w:lineRule="auto"/>
        <w:rPr>
          <w:rFonts w:asciiTheme="minorHAnsi" w:hAnsiTheme="minorHAnsi"/>
          <w:color w:val="000000"/>
          <w:sz w:val="22"/>
          <w:szCs w:val="22"/>
          <w:u w:color="000000"/>
        </w:rPr>
      </w:pPr>
      <w:r w:rsidRPr="002E7137">
        <w:rPr>
          <w:rFonts w:asciiTheme="minorHAnsi" w:hAnsiTheme="minorHAnsi"/>
          <w:sz w:val="22"/>
          <w:szCs w:val="22"/>
        </w:rPr>
        <w:t>Comply with requirements of Quasi-Public Corporations Accountability and Transparency Act.</w:t>
      </w:r>
    </w:p>
    <w:p w14:paraId="67DD173A" w14:textId="77777777" w:rsidR="00D26926" w:rsidRPr="00D26926" w:rsidRDefault="00D26926" w:rsidP="00D26926">
      <w:pPr>
        <w:spacing w:after="180" w:line="276" w:lineRule="auto"/>
        <w:rPr>
          <w:color w:val="000000"/>
          <w:u w:color="000000"/>
        </w:rPr>
      </w:pPr>
    </w:p>
    <w:p w14:paraId="289119D2" w14:textId="77777777" w:rsidR="00882AC0" w:rsidRPr="002E7137" w:rsidRDefault="00882AC0" w:rsidP="00882AC0">
      <w:pPr>
        <w:pStyle w:val="ListParagraph"/>
        <w:spacing w:after="180" w:line="276" w:lineRule="auto"/>
        <w:rPr>
          <w:rFonts w:asciiTheme="minorHAnsi" w:hAnsiTheme="minorHAnsi"/>
          <w:color w:val="000000"/>
          <w:sz w:val="22"/>
          <w:szCs w:val="22"/>
          <w:u w:color="000000"/>
        </w:rPr>
      </w:pPr>
    </w:p>
    <w:p w14:paraId="61985EF6" w14:textId="77777777" w:rsidR="00882AC0" w:rsidRDefault="00882AC0" w:rsidP="00882AC0">
      <w:pPr>
        <w:spacing w:after="180" w:line="276" w:lineRule="auto"/>
      </w:pPr>
    </w:p>
    <w:p w14:paraId="2D7FDCC2" w14:textId="77777777" w:rsidR="00882AC0" w:rsidRDefault="00882AC0" w:rsidP="00882AC0"/>
    <w:p w14:paraId="1D44CCB4" w14:textId="77777777" w:rsidR="00882AC0" w:rsidRDefault="00882AC0" w:rsidP="00882AC0"/>
    <w:p w14:paraId="736DE124" w14:textId="77777777" w:rsidR="00882AC0" w:rsidRDefault="00882AC0" w:rsidP="00882AC0"/>
    <w:p w14:paraId="5963146B" w14:textId="77777777" w:rsidR="00882AC0" w:rsidRDefault="00882AC0" w:rsidP="00882AC0"/>
    <w:p w14:paraId="49132DE7" w14:textId="77777777" w:rsidR="00882AC0" w:rsidRDefault="00882AC0" w:rsidP="00882AC0"/>
    <w:p w14:paraId="7FD4D95F" w14:textId="77777777" w:rsidR="00882AC0" w:rsidRDefault="00882AC0" w:rsidP="00882AC0"/>
    <w:p w14:paraId="23A40547" w14:textId="77777777" w:rsidR="00882AC0" w:rsidRDefault="00882AC0" w:rsidP="00882AC0"/>
    <w:p w14:paraId="666B40B1" w14:textId="77777777" w:rsidR="00882AC0" w:rsidRDefault="00882AC0" w:rsidP="00882AC0"/>
    <w:p w14:paraId="3B9DC694" w14:textId="77777777" w:rsidR="00882AC0" w:rsidRDefault="00882AC0" w:rsidP="00882AC0"/>
    <w:p w14:paraId="2ED7F468" w14:textId="77777777" w:rsidR="00882AC0" w:rsidRDefault="00882AC0" w:rsidP="00882AC0"/>
    <w:p w14:paraId="2DC80F0D" w14:textId="77777777" w:rsidR="00882AC0" w:rsidRDefault="00882AC0" w:rsidP="00882AC0"/>
    <w:p w14:paraId="6EF63452" w14:textId="77777777" w:rsidR="00882AC0" w:rsidRDefault="00882AC0" w:rsidP="00882AC0"/>
    <w:p w14:paraId="76421C61" w14:textId="77777777" w:rsidR="00882AC0" w:rsidRDefault="00882AC0" w:rsidP="00882AC0"/>
    <w:p w14:paraId="6147B956" w14:textId="77777777" w:rsidR="00DA6DE9" w:rsidRDefault="00DA6DE9" w:rsidP="00882AC0"/>
    <w:p w14:paraId="179DFB13" w14:textId="77777777" w:rsidR="00DA6DE9" w:rsidRDefault="00DA6DE9" w:rsidP="00882AC0"/>
    <w:p w14:paraId="0193CED6" w14:textId="77777777" w:rsidR="00DA6DE9" w:rsidRDefault="00DA6DE9" w:rsidP="00882AC0"/>
    <w:p w14:paraId="1E7292E7" w14:textId="77777777" w:rsidR="00882AC0" w:rsidRDefault="00882AC0" w:rsidP="00882AC0"/>
    <w:sdt>
      <w:sdtPr>
        <w:id w:val="1376351033"/>
        <w:docPartObj>
          <w:docPartGallery w:val="Table of Contents"/>
          <w:docPartUnique/>
        </w:docPartObj>
      </w:sdtPr>
      <w:sdtEndPr>
        <w:rPr>
          <w:b/>
          <w:bCs/>
          <w:noProof/>
        </w:rPr>
      </w:sdtEndPr>
      <w:sdtContent>
        <w:p w14:paraId="2C7A7360" w14:textId="77777777" w:rsidR="00882AC0" w:rsidRPr="00B16AF8" w:rsidRDefault="00882AC0" w:rsidP="00882AC0">
          <w:pPr>
            <w:jc w:val="both"/>
            <w:rPr>
              <w:rFonts w:ascii="Calibri Light" w:hAnsi="Calibri Light"/>
            </w:rPr>
          </w:pPr>
          <w:r w:rsidRPr="00B16AF8">
            <w:rPr>
              <w:rFonts w:ascii="Calibri Light" w:hAnsi="Calibri Light"/>
            </w:rPr>
            <w:t>Contents</w:t>
          </w:r>
        </w:p>
        <w:p w14:paraId="73D5A505" w14:textId="3A36594E" w:rsidR="006C4DA4" w:rsidRDefault="00882AC0">
          <w:pPr>
            <w:pStyle w:val="TOC1"/>
            <w:tabs>
              <w:tab w:val="right" w:leader="dot" w:pos="9350"/>
            </w:tabs>
            <w:rPr>
              <w:rFonts w:eastAsiaTheme="minorEastAsia"/>
              <w:noProof/>
            </w:rPr>
          </w:pPr>
          <w:r w:rsidRPr="00B16AF8">
            <w:rPr>
              <w:rFonts w:ascii="Calibri Light" w:hAnsi="Calibri Light"/>
            </w:rPr>
            <w:fldChar w:fldCharType="begin"/>
          </w:r>
          <w:r w:rsidRPr="00B16AF8">
            <w:rPr>
              <w:rFonts w:ascii="Calibri Light" w:hAnsi="Calibri Light"/>
            </w:rPr>
            <w:instrText xml:space="preserve"> TOC \o "1-3" \h \z \u </w:instrText>
          </w:r>
          <w:r w:rsidRPr="00B16AF8">
            <w:rPr>
              <w:rFonts w:ascii="Calibri Light" w:hAnsi="Calibri Light"/>
            </w:rPr>
            <w:fldChar w:fldCharType="separate"/>
          </w:r>
          <w:hyperlink w:anchor="_Toc20398297" w:history="1">
            <w:r w:rsidR="006C4DA4" w:rsidRPr="00367F8B">
              <w:rPr>
                <w:rStyle w:val="Hyperlink"/>
                <w:bCs/>
                <w:noProof/>
              </w:rPr>
              <w:t>Introduction</w:t>
            </w:r>
            <w:r w:rsidR="006C4DA4">
              <w:rPr>
                <w:noProof/>
                <w:webHidden/>
              </w:rPr>
              <w:tab/>
            </w:r>
            <w:r w:rsidR="006C4DA4">
              <w:rPr>
                <w:noProof/>
                <w:webHidden/>
              </w:rPr>
              <w:fldChar w:fldCharType="begin"/>
            </w:r>
            <w:r w:rsidR="006C4DA4">
              <w:rPr>
                <w:noProof/>
                <w:webHidden/>
              </w:rPr>
              <w:instrText xml:space="preserve"> PAGEREF _Toc20398297 \h </w:instrText>
            </w:r>
            <w:r w:rsidR="006C4DA4">
              <w:rPr>
                <w:noProof/>
                <w:webHidden/>
              </w:rPr>
            </w:r>
            <w:r w:rsidR="006C4DA4">
              <w:rPr>
                <w:noProof/>
                <w:webHidden/>
              </w:rPr>
              <w:fldChar w:fldCharType="separate"/>
            </w:r>
            <w:r w:rsidR="006C4DA4">
              <w:rPr>
                <w:noProof/>
                <w:webHidden/>
              </w:rPr>
              <w:t>4</w:t>
            </w:r>
            <w:r w:rsidR="006C4DA4">
              <w:rPr>
                <w:noProof/>
                <w:webHidden/>
              </w:rPr>
              <w:fldChar w:fldCharType="end"/>
            </w:r>
          </w:hyperlink>
        </w:p>
        <w:p w14:paraId="66289FEF" w14:textId="7F0E73D1" w:rsidR="006C4DA4" w:rsidRDefault="006576CF">
          <w:pPr>
            <w:pStyle w:val="TOC1"/>
            <w:tabs>
              <w:tab w:val="right" w:leader="dot" w:pos="9350"/>
            </w:tabs>
            <w:rPr>
              <w:rFonts w:eastAsiaTheme="minorEastAsia"/>
              <w:noProof/>
            </w:rPr>
          </w:pPr>
          <w:hyperlink w:anchor="_Toc20398298" w:history="1">
            <w:r w:rsidR="006C4DA4" w:rsidRPr="00367F8B">
              <w:rPr>
                <w:rStyle w:val="Hyperlink"/>
                <w:noProof/>
              </w:rPr>
              <w:t>Recommendations and Management’s Responses</w:t>
            </w:r>
            <w:r w:rsidR="006C4DA4">
              <w:rPr>
                <w:noProof/>
                <w:webHidden/>
              </w:rPr>
              <w:tab/>
            </w:r>
            <w:r w:rsidR="006C4DA4">
              <w:rPr>
                <w:noProof/>
                <w:webHidden/>
              </w:rPr>
              <w:fldChar w:fldCharType="begin"/>
            </w:r>
            <w:r w:rsidR="006C4DA4">
              <w:rPr>
                <w:noProof/>
                <w:webHidden/>
              </w:rPr>
              <w:instrText xml:space="preserve"> PAGEREF _Toc20398298 \h </w:instrText>
            </w:r>
            <w:r w:rsidR="006C4DA4">
              <w:rPr>
                <w:noProof/>
                <w:webHidden/>
              </w:rPr>
            </w:r>
            <w:r w:rsidR="006C4DA4">
              <w:rPr>
                <w:noProof/>
                <w:webHidden/>
              </w:rPr>
              <w:fldChar w:fldCharType="separate"/>
            </w:r>
            <w:r w:rsidR="006C4DA4">
              <w:rPr>
                <w:noProof/>
                <w:webHidden/>
              </w:rPr>
              <w:t>4</w:t>
            </w:r>
            <w:r w:rsidR="006C4DA4">
              <w:rPr>
                <w:noProof/>
                <w:webHidden/>
              </w:rPr>
              <w:fldChar w:fldCharType="end"/>
            </w:r>
          </w:hyperlink>
        </w:p>
        <w:p w14:paraId="3F8C7C0D" w14:textId="3B63DA86" w:rsidR="006C4DA4" w:rsidRDefault="006576CF">
          <w:pPr>
            <w:pStyle w:val="TOC2"/>
            <w:tabs>
              <w:tab w:val="right" w:leader="dot" w:pos="9350"/>
            </w:tabs>
            <w:rPr>
              <w:rFonts w:eastAsiaTheme="minorEastAsia"/>
              <w:noProof/>
            </w:rPr>
          </w:pPr>
          <w:hyperlink w:anchor="_Toc20398299" w:history="1">
            <w:r w:rsidR="006C4DA4" w:rsidRPr="00367F8B">
              <w:rPr>
                <w:rStyle w:val="Hyperlink"/>
                <w:noProof/>
              </w:rPr>
              <w:t>Increase Monitoring of Bond Insurance Premium Payments</w:t>
            </w:r>
            <w:r w:rsidR="006C4DA4">
              <w:rPr>
                <w:noProof/>
                <w:webHidden/>
              </w:rPr>
              <w:tab/>
            </w:r>
            <w:r w:rsidR="006C4DA4">
              <w:rPr>
                <w:noProof/>
                <w:webHidden/>
              </w:rPr>
              <w:fldChar w:fldCharType="begin"/>
            </w:r>
            <w:r w:rsidR="006C4DA4">
              <w:rPr>
                <w:noProof/>
                <w:webHidden/>
              </w:rPr>
              <w:instrText xml:space="preserve"> PAGEREF _Toc20398299 \h </w:instrText>
            </w:r>
            <w:r w:rsidR="006C4DA4">
              <w:rPr>
                <w:noProof/>
                <w:webHidden/>
              </w:rPr>
            </w:r>
            <w:r w:rsidR="006C4DA4">
              <w:rPr>
                <w:noProof/>
                <w:webHidden/>
              </w:rPr>
              <w:fldChar w:fldCharType="separate"/>
            </w:r>
            <w:r w:rsidR="006C4DA4">
              <w:rPr>
                <w:noProof/>
                <w:webHidden/>
              </w:rPr>
              <w:t>4</w:t>
            </w:r>
            <w:r w:rsidR="006C4DA4">
              <w:rPr>
                <w:noProof/>
                <w:webHidden/>
              </w:rPr>
              <w:fldChar w:fldCharType="end"/>
            </w:r>
          </w:hyperlink>
        </w:p>
        <w:p w14:paraId="0B7FCB9A" w14:textId="3A743EB0" w:rsidR="006C4DA4" w:rsidRDefault="006576CF">
          <w:pPr>
            <w:pStyle w:val="TOC2"/>
            <w:tabs>
              <w:tab w:val="right" w:leader="dot" w:pos="9350"/>
            </w:tabs>
            <w:rPr>
              <w:rFonts w:eastAsiaTheme="minorEastAsia"/>
              <w:noProof/>
            </w:rPr>
          </w:pPr>
          <w:hyperlink w:anchor="_Toc20398300" w:history="1">
            <w:r w:rsidR="006C4DA4" w:rsidRPr="00367F8B">
              <w:rPr>
                <w:rStyle w:val="Hyperlink"/>
                <w:noProof/>
              </w:rPr>
              <w:t>Comply with Requirements of the Quasi-Public Corporations Accountability and Transparency Act</w:t>
            </w:r>
            <w:r w:rsidR="006C4DA4">
              <w:rPr>
                <w:noProof/>
                <w:webHidden/>
              </w:rPr>
              <w:tab/>
            </w:r>
            <w:r w:rsidR="006C4DA4">
              <w:rPr>
                <w:noProof/>
                <w:webHidden/>
              </w:rPr>
              <w:fldChar w:fldCharType="begin"/>
            </w:r>
            <w:r w:rsidR="006C4DA4">
              <w:rPr>
                <w:noProof/>
                <w:webHidden/>
              </w:rPr>
              <w:instrText xml:space="preserve"> PAGEREF _Toc20398300 \h </w:instrText>
            </w:r>
            <w:r w:rsidR="006C4DA4">
              <w:rPr>
                <w:noProof/>
                <w:webHidden/>
              </w:rPr>
            </w:r>
            <w:r w:rsidR="006C4DA4">
              <w:rPr>
                <w:noProof/>
                <w:webHidden/>
              </w:rPr>
              <w:fldChar w:fldCharType="separate"/>
            </w:r>
            <w:r w:rsidR="006C4DA4">
              <w:rPr>
                <w:noProof/>
                <w:webHidden/>
              </w:rPr>
              <w:t>5</w:t>
            </w:r>
            <w:r w:rsidR="006C4DA4">
              <w:rPr>
                <w:noProof/>
                <w:webHidden/>
              </w:rPr>
              <w:fldChar w:fldCharType="end"/>
            </w:r>
          </w:hyperlink>
        </w:p>
        <w:p w14:paraId="40B2945C" w14:textId="63187609" w:rsidR="006C4DA4" w:rsidRDefault="006576CF">
          <w:pPr>
            <w:pStyle w:val="TOC1"/>
            <w:tabs>
              <w:tab w:val="right" w:leader="dot" w:pos="9350"/>
            </w:tabs>
            <w:rPr>
              <w:rFonts w:eastAsiaTheme="minorEastAsia"/>
              <w:noProof/>
            </w:rPr>
          </w:pPr>
          <w:hyperlink w:anchor="_Toc20398301" w:history="1">
            <w:r w:rsidR="006C4DA4" w:rsidRPr="00367F8B">
              <w:rPr>
                <w:rStyle w:val="Hyperlink"/>
                <w:noProof/>
              </w:rPr>
              <w:t>Objective and Scope</w:t>
            </w:r>
            <w:r w:rsidR="006C4DA4">
              <w:rPr>
                <w:noProof/>
                <w:webHidden/>
              </w:rPr>
              <w:tab/>
            </w:r>
            <w:r w:rsidR="006C4DA4">
              <w:rPr>
                <w:noProof/>
                <w:webHidden/>
              </w:rPr>
              <w:fldChar w:fldCharType="begin"/>
            </w:r>
            <w:r w:rsidR="006C4DA4">
              <w:rPr>
                <w:noProof/>
                <w:webHidden/>
              </w:rPr>
              <w:instrText xml:space="preserve"> PAGEREF _Toc20398301 \h </w:instrText>
            </w:r>
            <w:r w:rsidR="006C4DA4">
              <w:rPr>
                <w:noProof/>
                <w:webHidden/>
              </w:rPr>
            </w:r>
            <w:r w:rsidR="006C4DA4">
              <w:rPr>
                <w:noProof/>
                <w:webHidden/>
              </w:rPr>
              <w:fldChar w:fldCharType="separate"/>
            </w:r>
            <w:r w:rsidR="006C4DA4">
              <w:rPr>
                <w:noProof/>
                <w:webHidden/>
              </w:rPr>
              <w:t>6</w:t>
            </w:r>
            <w:r w:rsidR="006C4DA4">
              <w:rPr>
                <w:noProof/>
                <w:webHidden/>
              </w:rPr>
              <w:fldChar w:fldCharType="end"/>
            </w:r>
          </w:hyperlink>
        </w:p>
        <w:p w14:paraId="1DF256DB" w14:textId="4706EC84" w:rsidR="006C4DA4" w:rsidRDefault="006576CF">
          <w:pPr>
            <w:pStyle w:val="TOC1"/>
            <w:tabs>
              <w:tab w:val="right" w:leader="dot" w:pos="9350"/>
            </w:tabs>
            <w:rPr>
              <w:rFonts w:eastAsiaTheme="minorEastAsia"/>
              <w:noProof/>
            </w:rPr>
          </w:pPr>
          <w:hyperlink w:anchor="_Toc20398302" w:history="1">
            <w:r w:rsidR="006C4DA4" w:rsidRPr="00367F8B">
              <w:rPr>
                <w:rStyle w:val="Hyperlink"/>
                <w:noProof/>
              </w:rPr>
              <w:t>Methodology</w:t>
            </w:r>
            <w:r w:rsidR="006C4DA4">
              <w:rPr>
                <w:noProof/>
                <w:webHidden/>
              </w:rPr>
              <w:tab/>
            </w:r>
            <w:r w:rsidR="006C4DA4">
              <w:rPr>
                <w:noProof/>
                <w:webHidden/>
              </w:rPr>
              <w:fldChar w:fldCharType="begin"/>
            </w:r>
            <w:r w:rsidR="006C4DA4">
              <w:rPr>
                <w:noProof/>
                <w:webHidden/>
              </w:rPr>
              <w:instrText xml:space="preserve"> PAGEREF _Toc20398302 \h </w:instrText>
            </w:r>
            <w:r w:rsidR="006C4DA4">
              <w:rPr>
                <w:noProof/>
                <w:webHidden/>
              </w:rPr>
            </w:r>
            <w:r w:rsidR="006C4DA4">
              <w:rPr>
                <w:noProof/>
                <w:webHidden/>
              </w:rPr>
              <w:fldChar w:fldCharType="separate"/>
            </w:r>
            <w:r w:rsidR="006C4DA4">
              <w:rPr>
                <w:noProof/>
                <w:webHidden/>
              </w:rPr>
              <w:t>6</w:t>
            </w:r>
            <w:r w:rsidR="006C4DA4">
              <w:rPr>
                <w:noProof/>
                <w:webHidden/>
              </w:rPr>
              <w:fldChar w:fldCharType="end"/>
            </w:r>
          </w:hyperlink>
        </w:p>
        <w:p w14:paraId="294D4F32" w14:textId="486207E5" w:rsidR="00882AC0" w:rsidRDefault="00882AC0" w:rsidP="00882AC0">
          <w:pPr>
            <w:jc w:val="both"/>
          </w:pPr>
          <w:r w:rsidRPr="00B16AF8">
            <w:rPr>
              <w:rFonts w:ascii="Calibri Light" w:hAnsi="Calibri Light"/>
              <w:b/>
              <w:bCs/>
              <w:noProof/>
            </w:rPr>
            <w:fldChar w:fldCharType="end"/>
          </w:r>
        </w:p>
      </w:sdtContent>
    </w:sdt>
    <w:p w14:paraId="15E3F07B" w14:textId="77777777" w:rsidR="00882AC0" w:rsidRPr="002F40C9" w:rsidRDefault="00882AC0" w:rsidP="00882AC0">
      <w:pPr>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48D64D1" w14:textId="77777777" w:rsidR="00882AC0" w:rsidRDefault="00882AC0" w:rsidP="00882AC0">
      <w:pPr>
        <w:pStyle w:val="Heading1"/>
        <w:spacing w:before="0"/>
        <w:jc w:val="center"/>
        <w:rPr>
          <w:rFonts w:asciiTheme="minorHAnsi" w:hAnsiTheme="minorHAnsi"/>
          <w:bCs/>
          <w:sz w:val="28"/>
          <w:szCs w:val="28"/>
        </w:rPr>
      </w:pPr>
      <w:bookmarkStart w:id="0" w:name="_Toc457293024"/>
      <w:bookmarkStart w:id="1" w:name="_Toc485821352"/>
      <w:bookmarkStart w:id="2" w:name="_Toc20398297"/>
      <w:r w:rsidRPr="00B16AF8">
        <w:rPr>
          <w:rFonts w:asciiTheme="minorHAnsi" w:hAnsiTheme="minorHAnsi"/>
          <w:bCs/>
          <w:sz w:val="28"/>
          <w:szCs w:val="28"/>
        </w:rPr>
        <w:lastRenderedPageBreak/>
        <w:t>Introduction</w:t>
      </w:r>
      <w:bookmarkEnd w:id="0"/>
      <w:bookmarkEnd w:id="1"/>
      <w:bookmarkEnd w:id="2"/>
    </w:p>
    <w:p w14:paraId="1F61805E" w14:textId="77777777" w:rsidR="00882AC0" w:rsidRPr="00B0722D" w:rsidRDefault="00882AC0" w:rsidP="00882AC0"/>
    <w:p w14:paraId="7A8652D6" w14:textId="4171CF61" w:rsidR="00DA6DE9" w:rsidRDefault="00DA6DE9" w:rsidP="008A581E">
      <w:pPr>
        <w:jc w:val="both"/>
      </w:pPr>
      <w:r>
        <w:t>The Rhode Island Industrial-Recreational Building Authority (IRBA) was created</w:t>
      </w:r>
      <w:r w:rsidR="008D5CC2">
        <w:t xml:space="preserve"> in 1958 through </w:t>
      </w:r>
      <w:r w:rsidR="00FC28F6">
        <w:t>Rhode Island General Laws (</w:t>
      </w:r>
      <w:r w:rsidR="008D5CC2">
        <w:t>RIGL</w:t>
      </w:r>
      <w:r w:rsidR="00FC28F6">
        <w:t xml:space="preserve">) </w:t>
      </w:r>
      <w:r w:rsidR="00FC28F6">
        <w:rPr>
          <w:rFonts w:cstheme="minorHAnsi"/>
        </w:rPr>
        <w:t>§</w:t>
      </w:r>
      <w:r w:rsidR="008D5CC2">
        <w:t>42-34</w:t>
      </w:r>
      <w:r>
        <w:t xml:space="preserve"> for the purpose of nurturing economic growth with</w:t>
      </w:r>
      <w:r w:rsidR="008D5CC2">
        <w:t>in</w:t>
      </w:r>
      <w:r>
        <w:t xml:space="preserve"> Rhode Island by insuring mortgage payments </w:t>
      </w:r>
      <w:r w:rsidR="001753B8">
        <w:t xml:space="preserve">for </w:t>
      </w:r>
      <w:r>
        <w:t xml:space="preserve">industrial or recreational projects approved by </w:t>
      </w:r>
      <w:r w:rsidRPr="00120D82">
        <w:t xml:space="preserve">the authority.  The Authority maintains a first security position in all projects as required by statute.  The </w:t>
      </w:r>
      <w:r w:rsidR="0086563A" w:rsidRPr="00120D82">
        <w:t xml:space="preserve">insurance policy insures loans </w:t>
      </w:r>
      <w:r w:rsidRPr="00120D82">
        <w:t xml:space="preserve">up to 90% real estate, 80% machinery and equipment, and 75% tourist-travel recreation projects.  </w:t>
      </w:r>
      <w:r w:rsidR="0086563A" w:rsidRPr="00120D82">
        <w:t>The insured f</w:t>
      </w:r>
      <w:r w:rsidRPr="00120D82">
        <w:t xml:space="preserve">unds can be used for new building acquisitions, additions </w:t>
      </w:r>
      <w:r w:rsidR="001753B8" w:rsidRPr="00120D82">
        <w:t xml:space="preserve">or </w:t>
      </w:r>
      <w:r w:rsidRPr="00120D82">
        <w:t>rehabilitation of existing buildings and for new or used machinery and equipment.</w:t>
      </w:r>
      <w:r>
        <w:t xml:space="preserve"> </w:t>
      </w:r>
    </w:p>
    <w:p w14:paraId="37D45C20" w14:textId="6A4D2313" w:rsidR="00882AC0" w:rsidRPr="00C9183C" w:rsidRDefault="000B16C9" w:rsidP="00DA6DE9">
      <w:pPr>
        <w:spacing w:after="180" w:line="276" w:lineRule="auto"/>
        <w:rPr>
          <w:rFonts w:cstheme="minorHAnsi"/>
        </w:rPr>
      </w:pPr>
      <w:bookmarkStart w:id="3" w:name="_Hlk18570816"/>
      <w:r>
        <w:t>Although the IRBA is governed by a Board of Directors</w:t>
      </w:r>
      <w:r w:rsidR="00FC28F6">
        <w:t xml:space="preserve"> </w:t>
      </w:r>
      <w:r w:rsidR="00357172">
        <w:t>(</w:t>
      </w:r>
      <w:r w:rsidR="00FC28F6">
        <w:t>Board)</w:t>
      </w:r>
      <w:r>
        <w:t xml:space="preserve">, </w:t>
      </w:r>
      <w:bookmarkStart w:id="4" w:name="_Hlk18571940"/>
      <w:r>
        <w:t xml:space="preserve">the Rhode Island </w:t>
      </w:r>
      <w:r w:rsidR="008D5CC2">
        <w:t>Commerce Corporation</w:t>
      </w:r>
      <w:r>
        <w:t xml:space="preserve"> (“Commerce RI”)</w:t>
      </w:r>
      <w:r w:rsidR="008D5CC2">
        <w:t xml:space="preserve"> provides administrative support and office space to the Rhode Island Industrial Recreational Building Authority. It manages the administration, business and policy decisions of the financial service program to assure compliance with </w:t>
      </w:r>
      <w:r w:rsidR="00FC28F6">
        <w:t>B</w:t>
      </w:r>
      <w:r w:rsidR="008D5CC2">
        <w:t>oard actions and policies</w:t>
      </w:r>
      <w:bookmarkEnd w:id="4"/>
      <w:r w:rsidR="008D5CC2">
        <w:t xml:space="preserve">.  </w:t>
      </w:r>
      <w:bookmarkEnd w:id="3"/>
    </w:p>
    <w:p w14:paraId="68DF1489" w14:textId="77777777" w:rsidR="00882AC0" w:rsidRPr="0065195E" w:rsidRDefault="00882AC0" w:rsidP="00882AC0">
      <w:pPr>
        <w:pStyle w:val="Heading1"/>
        <w:jc w:val="center"/>
      </w:pPr>
      <w:bookmarkStart w:id="5" w:name="_Toc485821353"/>
      <w:bookmarkStart w:id="6" w:name="_Toc20398298"/>
      <w:r w:rsidRPr="0065195E">
        <w:t>Recommendations and Management’s Responses</w:t>
      </w:r>
      <w:bookmarkEnd w:id="5"/>
      <w:bookmarkEnd w:id="6"/>
    </w:p>
    <w:p w14:paraId="5123AE99" w14:textId="77777777" w:rsidR="00882AC0" w:rsidRPr="00C9183C" w:rsidRDefault="00882AC0" w:rsidP="00882AC0">
      <w:pPr>
        <w:pStyle w:val="Heading2"/>
      </w:pPr>
    </w:p>
    <w:p w14:paraId="31455D0F" w14:textId="77777777" w:rsidR="00FC28F6" w:rsidRPr="00B35562" w:rsidRDefault="00FC28F6" w:rsidP="00FC28F6">
      <w:pPr>
        <w:pStyle w:val="Heading2"/>
        <w:rPr>
          <w:rStyle w:val="s6c8efa9d1"/>
          <w:b w:val="0"/>
          <w:bCs w:val="0"/>
        </w:rPr>
      </w:pPr>
      <w:bookmarkStart w:id="7" w:name="_Toc20398299"/>
      <w:r w:rsidRPr="00B35562">
        <w:rPr>
          <w:rStyle w:val="s6c8efa9d1"/>
          <w:b w:val="0"/>
          <w:bCs w:val="0"/>
        </w:rPr>
        <w:t>Increase Monitoring of Bond Insurance Premium Payments</w:t>
      </w:r>
      <w:bookmarkEnd w:id="7"/>
      <w:r w:rsidRPr="00B35562">
        <w:rPr>
          <w:rStyle w:val="s6c8efa9d1"/>
          <w:b w:val="0"/>
          <w:bCs w:val="0"/>
        </w:rPr>
        <w:t xml:space="preserve"> </w:t>
      </w:r>
    </w:p>
    <w:p w14:paraId="4D0FE2AA" w14:textId="442E7B31" w:rsidR="00FC28F6" w:rsidRDefault="00FC28F6" w:rsidP="00FC28F6">
      <w:pPr>
        <w:spacing w:after="180" w:line="276" w:lineRule="auto"/>
        <w:jc w:val="both"/>
        <w:rPr>
          <w:rFonts w:cstheme="minorHAnsi"/>
        </w:rPr>
      </w:pPr>
      <w:r w:rsidRPr="00061371">
        <w:rPr>
          <w:rFonts w:cstheme="minorHAnsi"/>
        </w:rPr>
        <w:t>Payments for bond insurance premiums are due on a monthly basis.  For the audit period, January 1, 2018 through March 31, 2019, there were four outstanding bonds insured by IRBA</w:t>
      </w:r>
      <w:r w:rsidR="00EB5EE8">
        <w:rPr>
          <w:rFonts w:cstheme="minorHAnsi"/>
        </w:rPr>
        <w:t xml:space="preserve">, </w:t>
      </w:r>
      <w:r w:rsidRPr="00061371">
        <w:rPr>
          <w:rFonts w:cstheme="minorHAnsi"/>
        </w:rPr>
        <w:t>and two had outstanding insurance premium payments due</w:t>
      </w:r>
      <w:r>
        <w:rPr>
          <w:rFonts w:cstheme="minorHAnsi"/>
        </w:rPr>
        <w:t xml:space="preserve"> from the borrower</w:t>
      </w:r>
      <w:r w:rsidR="00EB5EE8">
        <w:rPr>
          <w:rFonts w:cstheme="minorHAnsi"/>
        </w:rPr>
        <w:t xml:space="preserve"> on a </w:t>
      </w:r>
      <w:r w:rsidR="00EB5EE8" w:rsidRPr="00EB5EE8">
        <w:rPr>
          <w:rFonts w:cstheme="minorHAnsi"/>
        </w:rPr>
        <w:t>monthly basis</w:t>
      </w:r>
      <w:r w:rsidRPr="00EB5EE8">
        <w:rPr>
          <w:rFonts w:cstheme="minorHAnsi"/>
        </w:rPr>
        <w:t>. However, the amount</w:t>
      </w:r>
      <w:r w:rsidR="003A0D38">
        <w:rPr>
          <w:rFonts w:cstheme="minorHAnsi"/>
        </w:rPr>
        <w:t>s</w:t>
      </w:r>
      <w:r w:rsidRPr="00EB5EE8">
        <w:rPr>
          <w:rFonts w:cstheme="minorHAnsi"/>
        </w:rPr>
        <w:t xml:space="preserve"> received</w:t>
      </w:r>
      <w:r>
        <w:rPr>
          <w:rFonts w:cstheme="minorHAnsi"/>
        </w:rPr>
        <w:t xml:space="preserve"> from the borrowers </w:t>
      </w:r>
      <w:r w:rsidR="003A0D38">
        <w:rPr>
          <w:rFonts w:cstheme="minorHAnsi"/>
        </w:rPr>
        <w:t xml:space="preserve">are </w:t>
      </w:r>
      <w:r w:rsidR="00EB5EE8">
        <w:rPr>
          <w:rFonts w:cstheme="minorHAnsi"/>
        </w:rPr>
        <w:t>not</w:t>
      </w:r>
      <w:r>
        <w:rPr>
          <w:rFonts w:cstheme="minorHAnsi"/>
        </w:rPr>
        <w:t xml:space="preserve"> equivalent to the monthly payment amount</w:t>
      </w:r>
      <w:r w:rsidR="003A0D38">
        <w:rPr>
          <w:rFonts w:cstheme="minorHAnsi"/>
        </w:rPr>
        <w:t>,</w:t>
      </w:r>
      <w:r>
        <w:rPr>
          <w:rFonts w:cstheme="minorHAnsi"/>
        </w:rPr>
        <w:t xml:space="preserve"> and the balance on the account has continued to increase over the past year.  The two bonds have the following:</w:t>
      </w:r>
    </w:p>
    <w:p w14:paraId="757761E8" w14:textId="77777777" w:rsidR="00FC28F6" w:rsidRDefault="00FC28F6" w:rsidP="00FC28F6">
      <w:pPr>
        <w:spacing w:after="180" w:line="276" w:lineRule="auto"/>
        <w:jc w:val="both"/>
        <w:rPr>
          <w:rFonts w:cstheme="minorHAnsi"/>
        </w:rPr>
      </w:pPr>
      <w:r>
        <w:rPr>
          <w:rFonts w:cstheme="minorHAnsi"/>
        </w:rPr>
        <w:t>First</w:t>
      </w:r>
      <w:r w:rsidRPr="00061371">
        <w:rPr>
          <w:rFonts w:cstheme="minorHAnsi"/>
        </w:rPr>
        <w:t xml:space="preserve"> bond had past due payments</w:t>
      </w:r>
      <w:r>
        <w:rPr>
          <w:rFonts w:cstheme="minorHAnsi"/>
        </w:rPr>
        <w:t xml:space="preserve"> of $2,486</w:t>
      </w:r>
      <w:r w:rsidRPr="00061371">
        <w:rPr>
          <w:rFonts w:cstheme="minorHAnsi"/>
        </w:rPr>
        <w:t xml:space="preserve"> in excess of 90 days</w:t>
      </w:r>
      <w:r>
        <w:rPr>
          <w:rFonts w:cstheme="minorHAnsi"/>
        </w:rPr>
        <w:t xml:space="preserve">  </w:t>
      </w:r>
    </w:p>
    <w:p w14:paraId="7FF3EC6D" w14:textId="77777777" w:rsidR="00FC28F6" w:rsidRDefault="00FC28F6" w:rsidP="00FC28F6">
      <w:pPr>
        <w:spacing w:after="180" w:line="276" w:lineRule="auto"/>
        <w:jc w:val="both"/>
        <w:rPr>
          <w:rFonts w:cstheme="minorHAnsi"/>
        </w:rPr>
      </w:pPr>
      <w:r>
        <w:rPr>
          <w:rFonts w:cstheme="minorHAnsi"/>
        </w:rPr>
        <w:t xml:space="preserve">Second bond had past due payments of $4,165 in excess of 60 days. </w:t>
      </w:r>
    </w:p>
    <w:p w14:paraId="4BC20835" w14:textId="77777777" w:rsidR="00FC28F6" w:rsidRPr="004A5A55" w:rsidRDefault="00FC28F6" w:rsidP="00FC28F6">
      <w:pPr>
        <w:spacing w:after="180" w:line="276" w:lineRule="auto"/>
        <w:jc w:val="both"/>
        <w:rPr>
          <w:rFonts w:cstheme="minorHAnsi"/>
        </w:rPr>
      </w:pPr>
      <w:r>
        <w:rPr>
          <w:rFonts w:cstheme="minorHAnsi"/>
        </w:rPr>
        <w:t>The monthly bond insurance premiums are not being formally monitored or tracked agai</w:t>
      </w:r>
      <w:bookmarkStart w:id="8" w:name="_GoBack"/>
      <w:bookmarkEnd w:id="8"/>
      <w:r>
        <w:rPr>
          <w:rFonts w:cstheme="minorHAnsi"/>
        </w:rPr>
        <w:t xml:space="preserve">nst invoices.  This casual administration results in an increased risk of loss to IRBA when the bond premium outstanding balance is trending upwards, payments are not made in full and past due payment amounts exceed 90 days. </w:t>
      </w:r>
    </w:p>
    <w:p w14:paraId="6DC1C7C5" w14:textId="77777777" w:rsidR="00FC28F6" w:rsidRDefault="00FC28F6" w:rsidP="00FC28F6">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3E19CDB2" w14:textId="77777777" w:rsidR="00FC28F6" w:rsidRPr="00D26926" w:rsidRDefault="00FC28F6" w:rsidP="00FC28F6">
      <w:pPr>
        <w:pStyle w:val="ListParagraph"/>
        <w:numPr>
          <w:ilvl w:val="0"/>
          <w:numId w:val="1"/>
        </w:numPr>
        <w:spacing w:after="180" w:line="276" w:lineRule="auto"/>
        <w:rPr>
          <w:rFonts w:asciiTheme="minorHAnsi" w:hAnsiTheme="minorHAnsi"/>
          <w:sz w:val="22"/>
          <w:szCs w:val="22"/>
        </w:rPr>
      </w:pPr>
      <w:r w:rsidRPr="00D26926">
        <w:rPr>
          <w:rFonts w:asciiTheme="minorHAnsi" w:hAnsiTheme="minorHAnsi"/>
          <w:sz w:val="22"/>
          <w:szCs w:val="22"/>
        </w:rPr>
        <w:t>Monitor the account and perform annual financial due diligence.</w:t>
      </w:r>
    </w:p>
    <w:p w14:paraId="7EF50CB0" w14:textId="0D49664C" w:rsidR="00FC28F6" w:rsidRDefault="00FC28F6" w:rsidP="00FC28F6">
      <w:pPr>
        <w:pStyle w:val="ListParagraph"/>
        <w:numPr>
          <w:ilvl w:val="0"/>
          <w:numId w:val="1"/>
        </w:numPr>
        <w:spacing w:after="180" w:line="276" w:lineRule="auto"/>
        <w:rPr>
          <w:rFonts w:asciiTheme="minorHAnsi" w:hAnsiTheme="minorHAnsi"/>
          <w:sz w:val="22"/>
          <w:szCs w:val="22"/>
        </w:rPr>
      </w:pPr>
      <w:r w:rsidRPr="00D26926">
        <w:rPr>
          <w:rFonts w:asciiTheme="minorHAnsi" w:hAnsiTheme="minorHAnsi"/>
          <w:sz w:val="22"/>
          <w:szCs w:val="22"/>
        </w:rPr>
        <w:t xml:space="preserve">Provide notice to the IRBA board to determine further actions if trend continues. </w:t>
      </w:r>
    </w:p>
    <w:p w14:paraId="07DBBD46" w14:textId="29E7062A" w:rsidR="00FC28F6" w:rsidRPr="00557154" w:rsidRDefault="00FC28F6" w:rsidP="0037625C">
      <w:pPr>
        <w:spacing w:after="180" w:line="276" w:lineRule="auto"/>
        <w:jc w:val="both"/>
        <w:rPr>
          <w:rFonts w:cstheme="minorHAnsi"/>
          <w:b/>
          <w:color w:val="000000"/>
          <w:u w:color="000000"/>
        </w:rPr>
      </w:pPr>
      <w:r w:rsidRPr="001D2118">
        <w:rPr>
          <w:rFonts w:eastAsiaTheme="majorEastAsia" w:cstheme="minorHAnsi"/>
          <w:i/>
          <w:iCs/>
          <w:color w:val="2F5496" w:themeColor="accent1" w:themeShade="BF"/>
        </w:rPr>
        <w:t>Management’s Response:</w:t>
      </w:r>
      <w:r w:rsidRPr="00FC28F6">
        <w:rPr>
          <w:rFonts w:cstheme="minorHAnsi"/>
          <w:color w:val="000000"/>
          <w:u w:color="000000"/>
        </w:rPr>
        <w:t xml:space="preserve"> </w:t>
      </w:r>
      <w:r w:rsidR="00557154" w:rsidRPr="00557154">
        <w:rPr>
          <w:rStyle w:val="s6c8efa9d1"/>
          <w:rFonts w:cstheme="minorHAnsi"/>
          <w:b w:val="0"/>
        </w:rPr>
        <w:t>IRBA staff works closely with the RICC Accounting Department staff. Accounting staff verbally notifies IRBA staff when billings are sent and if there is a slow pay situation. IRBA staff makes phone calls to borrowers requesting payment of the insurance premium and/or administrative fees that are well past due. IRBA staff, accompanied by IRBA counsel, recently met with the principal</w:t>
      </w:r>
      <w:r w:rsidR="00557154">
        <w:rPr>
          <w:rStyle w:val="s6c8efa9d1"/>
          <w:rFonts w:cstheme="minorHAnsi"/>
          <w:b w:val="0"/>
        </w:rPr>
        <w:t xml:space="preserve">’s of the outstanding bond premiums </w:t>
      </w:r>
      <w:r w:rsidR="00557154" w:rsidRPr="00557154">
        <w:rPr>
          <w:rStyle w:val="s6c8efa9d1"/>
          <w:rFonts w:cstheme="minorHAnsi"/>
          <w:b w:val="0"/>
        </w:rPr>
        <w:t xml:space="preserve">to discuss their funding of debt service reserve funds, as required by the trust indenture. We also discussed timely payment required fees as well as timely submission of financial statements. Credit memos (annual reviews) detailing annual reviews and conversations are in the credit </w:t>
      </w:r>
      <w:r w:rsidR="00557154" w:rsidRPr="00557154">
        <w:rPr>
          <w:rStyle w:val="s6c8efa9d1"/>
          <w:rFonts w:cstheme="minorHAnsi"/>
          <w:b w:val="0"/>
        </w:rPr>
        <w:lastRenderedPageBreak/>
        <w:t xml:space="preserve">file. IRBA staff has </w:t>
      </w:r>
      <w:r w:rsidR="00F416A2">
        <w:rPr>
          <w:rStyle w:val="s6c8efa9d1"/>
          <w:rFonts w:cstheme="minorHAnsi"/>
          <w:b w:val="0"/>
        </w:rPr>
        <w:t xml:space="preserve">constructed </w:t>
      </w:r>
      <w:r w:rsidR="00557154" w:rsidRPr="00557154">
        <w:rPr>
          <w:rStyle w:val="s6c8efa9d1"/>
          <w:rFonts w:cstheme="minorHAnsi"/>
          <w:b w:val="0"/>
        </w:rPr>
        <w:t>a bond fee monitoring worksheet to make it easier for the Accounting Department staff to invoice and track payment performance</w:t>
      </w:r>
      <w:r w:rsidR="00F416A2">
        <w:rPr>
          <w:rStyle w:val="s6c8efa9d1"/>
          <w:rFonts w:cstheme="minorHAnsi"/>
          <w:b w:val="0"/>
        </w:rPr>
        <w:t>.</w:t>
      </w:r>
    </w:p>
    <w:p w14:paraId="13F8E3A6" w14:textId="4C57036A" w:rsidR="00FC28F6" w:rsidRPr="001D2118" w:rsidRDefault="00FC28F6" w:rsidP="0037625C">
      <w:pPr>
        <w:spacing w:after="180" w:line="276" w:lineRule="auto"/>
        <w:jc w:val="both"/>
        <w:rPr>
          <w:rFonts w:eastAsiaTheme="majorEastAsia" w:cstheme="minorHAnsi"/>
          <w:i/>
          <w:iCs/>
          <w:color w:val="2F5496" w:themeColor="accent1" w:themeShade="BF"/>
        </w:rPr>
      </w:pPr>
      <w:r w:rsidRPr="001D2118">
        <w:rPr>
          <w:rFonts w:eastAsiaTheme="majorEastAsia" w:cstheme="minorHAnsi"/>
          <w:i/>
          <w:iCs/>
          <w:color w:val="2F5496" w:themeColor="accent1" w:themeShade="BF"/>
        </w:rPr>
        <w:t xml:space="preserve">Responsible Party: </w:t>
      </w:r>
      <w:r w:rsidR="002554A2">
        <w:rPr>
          <w:rFonts w:eastAsiaTheme="majorEastAsia" w:cstheme="minorHAnsi"/>
          <w:i/>
          <w:iCs/>
          <w:color w:val="2F5496" w:themeColor="accent1" w:themeShade="BF"/>
        </w:rPr>
        <w:t>IRBA Operations Staff has completed a worksheet to be utilized for billing and premium receipt monitoring. This information is shared with RICC Accounting Department</w:t>
      </w:r>
    </w:p>
    <w:p w14:paraId="4E421A24" w14:textId="55AC0B73" w:rsidR="00FC28F6" w:rsidRPr="00C9183C" w:rsidRDefault="00FC28F6" w:rsidP="0037625C">
      <w:pPr>
        <w:pStyle w:val="Heading4"/>
        <w:jc w:val="both"/>
        <w:rPr>
          <w:rFonts w:asciiTheme="minorHAnsi" w:hAnsiTheme="minorHAnsi" w:cstheme="minorHAnsi"/>
        </w:rPr>
      </w:pPr>
      <w:r w:rsidRPr="00C9183C">
        <w:rPr>
          <w:rFonts w:asciiTheme="minorHAnsi" w:hAnsiTheme="minorHAnsi" w:cstheme="minorHAnsi"/>
        </w:rPr>
        <w:t xml:space="preserve">Anticipated Completion Date: </w:t>
      </w:r>
      <w:r w:rsidR="002554A2">
        <w:rPr>
          <w:rFonts w:asciiTheme="minorHAnsi" w:hAnsiTheme="minorHAnsi" w:cstheme="minorHAnsi"/>
        </w:rPr>
        <w:t>Completed</w:t>
      </w:r>
    </w:p>
    <w:p w14:paraId="53E62EAD" w14:textId="77777777" w:rsidR="00FC28F6" w:rsidRPr="00FC28F6" w:rsidRDefault="00FC28F6" w:rsidP="001D2118">
      <w:pPr>
        <w:spacing w:after="180" w:line="276" w:lineRule="auto"/>
      </w:pPr>
    </w:p>
    <w:p w14:paraId="60EE13D3" w14:textId="77777777" w:rsidR="00882AC0" w:rsidRDefault="00882AC0" w:rsidP="00882AC0">
      <w:pPr>
        <w:pStyle w:val="Heading2"/>
      </w:pPr>
      <w:bookmarkStart w:id="9" w:name="_Toc20398300"/>
      <w:r>
        <w:t>Comply with Requirements of the Quasi-Public Corporations Accountability and Transparency Act</w:t>
      </w:r>
      <w:bookmarkEnd w:id="9"/>
      <w:r>
        <w:t xml:space="preserve"> </w:t>
      </w:r>
    </w:p>
    <w:p w14:paraId="287B633D" w14:textId="609BCAB1" w:rsidR="00882AC0" w:rsidRDefault="00882AC0" w:rsidP="008A581E">
      <w:pPr>
        <w:spacing w:after="180" w:line="276" w:lineRule="auto"/>
        <w:jc w:val="both"/>
      </w:pPr>
      <w:bookmarkStart w:id="10" w:name="_Hlk18407626"/>
      <w:r>
        <w:t xml:space="preserve">RIGL </w:t>
      </w:r>
      <w:r w:rsidR="00B35562" w:rsidRPr="00B35562">
        <w:rPr>
          <w:bCs/>
        </w:rPr>
        <w:t>§</w:t>
      </w:r>
      <w:r>
        <w:t xml:space="preserve">42-155 Quasi-Public Corporations Accountability and Transparency Act establishes requirements that quasi-public corporations must follow to increase transparency of operations.  The </w:t>
      </w:r>
      <w:r w:rsidR="00F65606">
        <w:t>IRBA</w:t>
      </w:r>
      <w:r>
        <w:t xml:space="preserve"> is included as an entity subject to the Quasi-Public Corporations Accountability and Transparency Act. Therefore, amongst others, it must adhere to the following requirements:</w:t>
      </w:r>
    </w:p>
    <w:p w14:paraId="209AEFFB" w14:textId="77777777" w:rsidR="00882AC0" w:rsidRPr="00F65606" w:rsidRDefault="00882AC0" w:rsidP="008A581E">
      <w:pPr>
        <w:pStyle w:val="Normal1"/>
        <w:numPr>
          <w:ilvl w:val="0"/>
          <w:numId w:val="2"/>
        </w:numPr>
        <w:spacing w:after="180" w:line="276" w:lineRule="auto"/>
        <w:jc w:val="both"/>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 xml:space="preserve">Adopting a list of performance measures </w:t>
      </w:r>
    </w:p>
    <w:p w14:paraId="72F53B55" w14:textId="77777777" w:rsidR="00882AC0" w:rsidRPr="00F65606" w:rsidRDefault="00882AC0" w:rsidP="008A581E">
      <w:pPr>
        <w:pStyle w:val="Normal1"/>
        <w:numPr>
          <w:ilvl w:val="0"/>
          <w:numId w:val="2"/>
        </w:numPr>
        <w:spacing w:after="180" w:line="276" w:lineRule="auto"/>
        <w:jc w:val="both"/>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 xml:space="preserve">Publishing a self-evaluation based on performance measurements at least once every three years </w:t>
      </w:r>
    </w:p>
    <w:p w14:paraId="44F23333" w14:textId="77777777" w:rsidR="00882AC0" w:rsidRPr="00F65606" w:rsidRDefault="00882AC0" w:rsidP="008A581E">
      <w:pPr>
        <w:pStyle w:val="Normal1"/>
        <w:numPr>
          <w:ilvl w:val="0"/>
          <w:numId w:val="2"/>
        </w:numPr>
        <w:spacing w:after="180" w:line="276" w:lineRule="auto"/>
        <w:jc w:val="both"/>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 xml:space="preserve">Providing certain information directly, or via direct link, on its website. </w:t>
      </w:r>
    </w:p>
    <w:p w14:paraId="1AA3072B" w14:textId="77777777" w:rsidR="00882AC0" w:rsidRDefault="00882AC0" w:rsidP="008A581E">
      <w:pPr>
        <w:spacing w:after="180" w:line="276" w:lineRule="auto"/>
        <w:jc w:val="both"/>
      </w:pPr>
      <w:r>
        <w:t xml:space="preserve">The </w:t>
      </w:r>
      <w:r w:rsidR="00F65606">
        <w:t>IRBA</w:t>
      </w:r>
      <w:r>
        <w:t xml:space="preserve"> did not provide documentation of identified performance measures for its mission as required by the Act. Further, there was no documentation provided to support a self-evaluation based on established measurements. </w:t>
      </w:r>
    </w:p>
    <w:p w14:paraId="7B56B5B7" w14:textId="035DF0CF" w:rsidR="00882AC0" w:rsidRDefault="00882AC0" w:rsidP="008A581E">
      <w:pPr>
        <w:spacing w:after="180" w:line="276" w:lineRule="auto"/>
        <w:jc w:val="both"/>
      </w:pPr>
      <w:r>
        <w:t xml:space="preserve">Finally, the </w:t>
      </w:r>
      <w:r w:rsidR="00F65606">
        <w:t>IRBA</w:t>
      </w:r>
      <w:r>
        <w:t xml:space="preserve"> did not publish to its website all required information per the RIGL</w:t>
      </w:r>
      <w:r w:rsidR="00B35562" w:rsidRPr="00B35562">
        <w:rPr>
          <w:rFonts w:cstheme="minorHAnsi"/>
          <w:color w:val="000000"/>
          <w:u w:color="000000"/>
        </w:rPr>
        <w:t xml:space="preserve"> </w:t>
      </w:r>
      <w:r w:rsidR="00B35562" w:rsidRPr="00B35562">
        <w:rPr>
          <w:bCs/>
        </w:rPr>
        <w:t>§</w:t>
      </w:r>
      <w:r w:rsidR="00B35562">
        <w:rPr>
          <w:bCs/>
        </w:rPr>
        <w:t>42-155-6</w:t>
      </w:r>
      <w:r>
        <w:t>. The following is not posted:</w:t>
      </w:r>
    </w:p>
    <w:p w14:paraId="4886170E" w14:textId="77777777" w:rsidR="00882AC0" w:rsidRPr="00F65606" w:rsidRDefault="00882AC0" w:rsidP="00882AC0">
      <w:pPr>
        <w:pStyle w:val="Normal1"/>
        <w:numPr>
          <w:ilvl w:val="0"/>
          <w:numId w:val="2"/>
        </w:numPr>
        <w:spacing w:after="180" w:line="276" w:lineRule="auto"/>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Quarterly financial statements</w:t>
      </w:r>
    </w:p>
    <w:p w14:paraId="5B2F4B60" w14:textId="77777777" w:rsidR="00882AC0" w:rsidRPr="00F65606" w:rsidRDefault="00882AC0" w:rsidP="00882AC0">
      <w:pPr>
        <w:pStyle w:val="Normal1"/>
        <w:numPr>
          <w:ilvl w:val="0"/>
          <w:numId w:val="2"/>
        </w:numPr>
        <w:spacing w:after="180" w:line="276" w:lineRule="auto"/>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Capital improvement plans</w:t>
      </w:r>
    </w:p>
    <w:p w14:paraId="406B932B" w14:textId="77777777" w:rsidR="00882AC0" w:rsidRPr="00F65606" w:rsidRDefault="00882AC0" w:rsidP="00882AC0">
      <w:pPr>
        <w:pStyle w:val="Normal1"/>
        <w:numPr>
          <w:ilvl w:val="0"/>
          <w:numId w:val="2"/>
        </w:numPr>
        <w:spacing w:after="180" w:line="276" w:lineRule="auto"/>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Strategic plan</w:t>
      </w:r>
    </w:p>
    <w:p w14:paraId="79F9A4AC" w14:textId="77D2CBE2" w:rsidR="00882AC0" w:rsidRPr="00F65606" w:rsidRDefault="00882AC0" w:rsidP="00882AC0">
      <w:pPr>
        <w:pStyle w:val="Normal1"/>
        <w:spacing w:after="180" w:line="276" w:lineRule="auto"/>
        <w:rPr>
          <w:rFonts w:asciiTheme="minorHAnsi" w:eastAsia="Calibri" w:hAnsiTheme="minorHAnsi" w:cstheme="minorHAnsi"/>
          <w:b/>
          <w:sz w:val="22"/>
          <w:szCs w:val="22"/>
        </w:rPr>
      </w:pPr>
      <w:r w:rsidRPr="00F65606">
        <w:rPr>
          <w:rStyle w:val="s6c8efa9d1"/>
          <w:rFonts w:asciiTheme="minorHAnsi" w:eastAsia="Calibri" w:hAnsiTheme="minorHAnsi" w:cstheme="minorHAnsi"/>
          <w:b w:val="0"/>
          <w:sz w:val="22"/>
          <w:szCs w:val="22"/>
        </w:rPr>
        <w:t xml:space="preserve">The </w:t>
      </w:r>
      <w:r w:rsidR="00F65606">
        <w:rPr>
          <w:rStyle w:val="s6c8efa9d1"/>
          <w:rFonts w:asciiTheme="minorHAnsi" w:eastAsia="Calibri" w:hAnsiTheme="minorHAnsi" w:cstheme="minorHAnsi"/>
          <w:b w:val="0"/>
          <w:sz w:val="22"/>
          <w:szCs w:val="22"/>
        </w:rPr>
        <w:t>IRBA</w:t>
      </w:r>
      <w:r w:rsidRPr="00F65606">
        <w:rPr>
          <w:rStyle w:val="s6c8efa9d1"/>
          <w:rFonts w:asciiTheme="minorHAnsi" w:eastAsia="Calibri" w:hAnsiTheme="minorHAnsi" w:cstheme="minorHAnsi"/>
          <w:b w:val="0"/>
          <w:sz w:val="22"/>
          <w:szCs w:val="22"/>
        </w:rPr>
        <w:t xml:space="preserve"> </w:t>
      </w:r>
      <w:r w:rsidR="001753B8">
        <w:rPr>
          <w:rStyle w:val="s6c8efa9d1"/>
          <w:rFonts w:asciiTheme="minorHAnsi" w:eastAsia="Calibri" w:hAnsiTheme="minorHAnsi" w:cstheme="minorHAnsi"/>
          <w:b w:val="0"/>
          <w:sz w:val="22"/>
          <w:szCs w:val="22"/>
        </w:rPr>
        <w:t xml:space="preserve">did not maintain </w:t>
      </w:r>
      <w:r w:rsidRPr="00F65606">
        <w:rPr>
          <w:rStyle w:val="s6c8efa9d1"/>
          <w:rFonts w:asciiTheme="minorHAnsi" w:eastAsia="Calibri" w:hAnsiTheme="minorHAnsi" w:cstheme="minorHAnsi"/>
          <w:b w:val="0"/>
          <w:sz w:val="22"/>
          <w:szCs w:val="22"/>
        </w:rPr>
        <w:t>required documentation stipulated in the RIGL and does not have all required transparency information available to the public.  As a result, the</w:t>
      </w:r>
      <w:r w:rsidR="00F65606">
        <w:rPr>
          <w:rStyle w:val="s6c8efa9d1"/>
          <w:rFonts w:asciiTheme="minorHAnsi" w:eastAsia="Calibri" w:hAnsiTheme="minorHAnsi" w:cstheme="minorHAnsi"/>
          <w:b w:val="0"/>
          <w:sz w:val="22"/>
          <w:szCs w:val="22"/>
        </w:rPr>
        <w:t xml:space="preserve"> IRBA</w:t>
      </w:r>
      <w:r w:rsidRPr="00F65606">
        <w:rPr>
          <w:rStyle w:val="s6c8efa9d1"/>
          <w:rFonts w:asciiTheme="minorHAnsi" w:eastAsia="Calibri" w:hAnsiTheme="minorHAnsi" w:cstheme="minorHAnsi"/>
          <w:b w:val="0"/>
          <w:sz w:val="22"/>
          <w:szCs w:val="22"/>
        </w:rPr>
        <w:t xml:space="preserve"> is not fully adhering to the Quasi-Public </w:t>
      </w:r>
      <w:r w:rsidRPr="00F65606">
        <w:rPr>
          <w:rFonts w:asciiTheme="minorHAnsi" w:eastAsia="Calibri" w:hAnsiTheme="minorHAnsi" w:cstheme="minorHAnsi"/>
          <w:sz w:val="22"/>
          <w:szCs w:val="22"/>
        </w:rPr>
        <w:t>Transparency Act requirements.</w:t>
      </w:r>
    </w:p>
    <w:bookmarkEnd w:id="10"/>
    <w:p w14:paraId="792F4255" w14:textId="77777777" w:rsidR="00882AC0" w:rsidRPr="005D1970" w:rsidRDefault="00882AC0" w:rsidP="00882AC0">
      <w:pPr>
        <w:pStyle w:val="Normal1"/>
        <w:rPr>
          <w:rStyle w:val="s6c8efa9d1"/>
          <w:rFonts w:asciiTheme="minorHAnsi" w:eastAsia="Calibri" w:hAnsiTheme="minorHAnsi" w:cstheme="minorHAnsi"/>
          <w:b w:val="0"/>
          <w:bCs w:val="0"/>
          <w:sz w:val="22"/>
          <w:szCs w:val="22"/>
        </w:rPr>
      </w:pPr>
    </w:p>
    <w:p w14:paraId="2510ADCB" w14:textId="77777777" w:rsidR="00882AC0" w:rsidRPr="00C9183C" w:rsidRDefault="00882AC0" w:rsidP="00882AC0">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0BE8026A" w14:textId="63363083" w:rsidR="00882AC0" w:rsidRPr="00B35562" w:rsidRDefault="00882AC0" w:rsidP="00882AC0">
      <w:pPr>
        <w:pStyle w:val="ListParagraph"/>
        <w:numPr>
          <w:ilvl w:val="0"/>
          <w:numId w:val="1"/>
        </w:numPr>
        <w:spacing w:after="180" w:line="276" w:lineRule="auto"/>
        <w:jc w:val="both"/>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Identify performance measures and establish monitoring procedures</w:t>
      </w:r>
      <w:r w:rsidR="00B35562">
        <w:rPr>
          <w:rFonts w:asciiTheme="minorHAnsi" w:hAnsiTheme="minorHAnsi" w:cstheme="minorHAnsi"/>
          <w:color w:val="000000"/>
          <w:sz w:val="22"/>
          <w:szCs w:val="22"/>
          <w:u w:color="000000"/>
        </w:rPr>
        <w:t xml:space="preserve"> in compliance </w:t>
      </w:r>
      <w:r w:rsidR="00B35562" w:rsidRPr="00B35562">
        <w:rPr>
          <w:rFonts w:asciiTheme="minorHAnsi" w:hAnsiTheme="minorHAnsi" w:cstheme="minorHAnsi"/>
          <w:color w:val="000000"/>
          <w:sz w:val="22"/>
          <w:szCs w:val="22"/>
          <w:u w:color="000000"/>
        </w:rPr>
        <w:t xml:space="preserve">with RIGL </w:t>
      </w:r>
      <w:r w:rsidR="00B35562" w:rsidRPr="00B35562">
        <w:rPr>
          <w:rFonts w:asciiTheme="minorHAnsi" w:hAnsiTheme="minorHAnsi"/>
          <w:bCs/>
          <w:sz w:val="22"/>
          <w:szCs w:val="22"/>
        </w:rPr>
        <w:t>§42-155-4</w:t>
      </w:r>
      <w:r w:rsidRPr="00B35562">
        <w:rPr>
          <w:rFonts w:asciiTheme="minorHAnsi" w:hAnsiTheme="minorHAnsi" w:cstheme="minorHAnsi"/>
          <w:color w:val="000000"/>
          <w:sz w:val="22"/>
          <w:szCs w:val="22"/>
          <w:u w:color="000000"/>
        </w:rPr>
        <w:t>.</w:t>
      </w:r>
    </w:p>
    <w:p w14:paraId="5EB162CA" w14:textId="41EB0D47" w:rsidR="00882AC0" w:rsidRPr="00C9183C" w:rsidRDefault="00882AC0" w:rsidP="00882AC0">
      <w:pPr>
        <w:pStyle w:val="ListParagraph"/>
        <w:numPr>
          <w:ilvl w:val="0"/>
          <w:numId w:val="1"/>
        </w:numPr>
        <w:spacing w:after="180" w:line="276" w:lineRule="auto"/>
        <w:jc w:val="both"/>
        <w:rPr>
          <w:rFonts w:asciiTheme="minorHAnsi" w:hAnsiTheme="minorHAnsi" w:cstheme="minorHAnsi"/>
          <w:color w:val="000000"/>
          <w:sz w:val="22"/>
          <w:szCs w:val="22"/>
          <w:u w:color="000000"/>
        </w:rPr>
      </w:pPr>
      <w:bookmarkStart w:id="11" w:name="_Hlk18407647"/>
      <w:r>
        <w:rPr>
          <w:rFonts w:asciiTheme="minorHAnsi" w:hAnsiTheme="minorHAnsi" w:cstheme="minorHAnsi"/>
          <w:color w:val="000000"/>
          <w:sz w:val="22"/>
          <w:szCs w:val="22"/>
          <w:u w:color="000000"/>
        </w:rPr>
        <w:t xml:space="preserve">Publicly post all required information </w:t>
      </w:r>
      <w:r w:rsidR="001753B8">
        <w:rPr>
          <w:rFonts w:asciiTheme="minorHAnsi" w:hAnsiTheme="minorHAnsi" w:cstheme="minorHAnsi"/>
          <w:color w:val="000000"/>
          <w:sz w:val="22"/>
          <w:szCs w:val="22"/>
          <w:u w:color="000000"/>
        </w:rPr>
        <w:t>to comply</w:t>
      </w:r>
      <w:r>
        <w:rPr>
          <w:rFonts w:asciiTheme="minorHAnsi" w:hAnsiTheme="minorHAnsi" w:cstheme="minorHAnsi"/>
          <w:color w:val="000000"/>
          <w:sz w:val="22"/>
          <w:szCs w:val="22"/>
          <w:u w:color="000000"/>
        </w:rPr>
        <w:t xml:space="preserve"> with</w:t>
      </w:r>
      <w:r w:rsidR="00B35562">
        <w:rPr>
          <w:rFonts w:asciiTheme="minorHAnsi" w:hAnsiTheme="minorHAnsi" w:cstheme="minorHAnsi"/>
          <w:color w:val="000000"/>
          <w:sz w:val="22"/>
          <w:szCs w:val="22"/>
          <w:u w:color="000000"/>
        </w:rPr>
        <w:t xml:space="preserve"> RIGL</w:t>
      </w:r>
      <w:r w:rsidR="00B35562" w:rsidRPr="00B35562">
        <w:rPr>
          <w:rFonts w:asciiTheme="minorHAnsi" w:hAnsiTheme="minorHAnsi" w:cstheme="minorHAnsi"/>
          <w:color w:val="000000"/>
          <w:sz w:val="22"/>
          <w:szCs w:val="22"/>
          <w:u w:color="000000"/>
        </w:rPr>
        <w:t xml:space="preserve"> </w:t>
      </w:r>
      <w:r w:rsidR="00B35562" w:rsidRPr="00B35562">
        <w:rPr>
          <w:bCs/>
        </w:rPr>
        <w:t>§</w:t>
      </w:r>
      <w:r>
        <w:rPr>
          <w:rFonts w:asciiTheme="minorHAnsi" w:hAnsiTheme="minorHAnsi" w:cstheme="minorHAnsi"/>
          <w:color w:val="000000"/>
          <w:sz w:val="22"/>
          <w:szCs w:val="22"/>
          <w:u w:color="000000"/>
        </w:rPr>
        <w:t xml:space="preserve">42-155-6. </w:t>
      </w:r>
    </w:p>
    <w:bookmarkEnd w:id="11"/>
    <w:p w14:paraId="65FBC74D" w14:textId="77777777" w:rsidR="00557154" w:rsidRPr="00CF2349" w:rsidRDefault="00882AC0" w:rsidP="00557154">
      <w:pPr>
        <w:spacing w:after="180" w:line="276" w:lineRule="auto"/>
        <w:jc w:val="both"/>
        <w:rPr>
          <w:rFonts w:cstheme="minorHAnsi"/>
          <w:color w:val="000000"/>
        </w:rPr>
      </w:pPr>
      <w:r w:rsidRPr="00C9183C">
        <w:rPr>
          <w:rFonts w:eastAsiaTheme="majorEastAsia" w:cstheme="minorHAnsi"/>
          <w:i/>
          <w:iCs/>
          <w:color w:val="2F5496" w:themeColor="accent1" w:themeShade="BF"/>
        </w:rPr>
        <w:t>Management’s Response</w:t>
      </w:r>
      <w:r w:rsidR="001753B8">
        <w:rPr>
          <w:rFonts w:eastAsiaTheme="majorEastAsia" w:cstheme="minorHAnsi"/>
          <w:i/>
          <w:iCs/>
          <w:color w:val="2F5496" w:themeColor="accent1" w:themeShade="BF"/>
        </w:rPr>
        <w:t>:</w:t>
      </w:r>
      <w:r w:rsidRPr="00C9183C">
        <w:rPr>
          <w:rFonts w:cstheme="minorHAnsi"/>
          <w:color w:val="000000"/>
          <w:u w:color="000000"/>
        </w:rPr>
        <w:t xml:space="preserve"> </w:t>
      </w:r>
      <w:r w:rsidR="00557154" w:rsidRPr="00F55A1C">
        <w:rPr>
          <w:rFonts w:cstheme="minorHAnsi"/>
          <w:color w:val="000000"/>
        </w:rPr>
        <w:t xml:space="preserve">At a </w:t>
      </w:r>
      <w:r w:rsidR="00557154" w:rsidRPr="00CF2349">
        <w:rPr>
          <w:rFonts w:cstheme="minorHAnsi"/>
          <w:color w:val="000000"/>
        </w:rPr>
        <w:t xml:space="preserve">meeting of the RIIFC Board of Directors held on February 27, 2015 the board reviewed the Quasi-Public Transparency Act and adopted policies relating to the Act. Performance </w:t>
      </w:r>
      <w:r w:rsidR="00557154" w:rsidRPr="00CF2349">
        <w:rPr>
          <w:rFonts w:cstheme="minorHAnsi"/>
          <w:color w:val="000000"/>
        </w:rPr>
        <w:lastRenderedPageBreak/>
        <w:t xml:space="preserve">measures were not established as the strategic plan for the program is incorporated in that of the Rhode Island Commerce Corporations economic objectives. </w:t>
      </w:r>
    </w:p>
    <w:p w14:paraId="63D9BD41" w14:textId="5C157219" w:rsidR="00557154" w:rsidRPr="00CF2349" w:rsidRDefault="00557154" w:rsidP="00557154">
      <w:pPr>
        <w:spacing w:after="180" w:line="276" w:lineRule="auto"/>
        <w:jc w:val="both"/>
        <w:rPr>
          <w:rFonts w:cstheme="minorHAnsi"/>
          <w:color w:val="000000"/>
        </w:rPr>
      </w:pPr>
      <w:r w:rsidRPr="00CF2349">
        <w:rPr>
          <w:rFonts w:cstheme="minorHAnsi"/>
          <w:color w:val="000000"/>
        </w:rPr>
        <w:t xml:space="preserve">IRBA does not maintain a website on which to publish information requested in the Act. It would be cost prohibitive for the Authority to maintain a website. </w:t>
      </w:r>
    </w:p>
    <w:p w14:paraId="333E4EEA" w14:textId="319997E0" w:rsidR="00557154" w:rsidRPr="00CF2349" w:rsidRDefault="00557154" w:rsidP="00557154">
      <w:pPr>
        <w:spacing w:after="180" w:line="276" w:lineRule="auto"/>
        <w:jc w:val="both"/>
        <w:rPr>
          <w:rFonts w:cstheme="minorHAnsi"/>
          <w:color w:val="000000"/>
        </w:rPr>
      </w:pPr>
      <w:r w:rsidRPr="00CF2349">
        <w:rPr>
          <w:rFonts w:cstheme="minorHAnsi"/>
          <w:color w:val="000000"/>
        </w:rPr>
        <w:tab/>
        <w:t xml:space="preserve">IRBA does not </w:t>
      </w:r>
      <w:r w:rsidR="0086563A" w:rsidRPr="00CF2349">
        <w:rPr>
          <w:rFonts w:cstheme="minorHAnsi"/>
          <w:color w:val="000000"/>
        </w:rPr>
        <w:t xml:space="preserve">and will not </w:t>
      </w:r>
      <w:r w:rsidRPr="00CF2349">
        <w:rPr>
          <w:rFonts w:cstheme="minorHAnsi"/>
          <w:color w:val="000000"/>
        </w:rPr>
        <w:t xml:space="preserve">have any activity to report regarding capital improvement plans or quarterly contracting. IRBA also does not prepare quarterly independent financial statements as the Accounting Department for the Rhode Island Commerce Corporation does not have the staffing capacity to compile and </w:t>
      </w:r>
      <w:r w:rsidR="0086563A" w:rsidRPr="00CF2349">
        <w:rPr>
          <w:rFonts w:cstheme="minorHAnsi"/>
          <w:color w:val="000000"/>
        </w:rPr>
        <w:t>generate the statements</w:t>
      </w:r>
      <w:r w:rsidRPr="00CF2349">
        <w:rPr>
          <w:rFonts w:cstheme="minorHAnsi"/>
          <w:color w:val="000000"/>
        </w:rPr>
        <w:t>.</w:t>
      </w:r>
    </w:p>
    <w:p w14:paraId="78663AD9" w14:textId="5B629A9F" w:rsidR="00557154" w:rsidRDefault="00557154" w:rsidP="00557154">
      <w:pPr>
        <w:spacing w:after="180" w:line="276" w:lineRule="auto"/>
        <w:jc w:val="both"/>
        <w:rPr>
          <w:rFonts w:cstheme="minorHAnsi"/>
          <w:color w:val="000000"/>
        </w:rPr>
      </w:pPr>
      <w:r w:rsidRPr="00CF2349">
        <w:rPr>
          <w:rFonts w:cstheme="minorHAnsi"/>
          <w:color w:val="000000"/>
        </w:rPr>
        <w:tab/>
        <w:t>Going forward, IRBA can work with the Rhode Island Commerce Corporation to establish performance measures and to create a link on its website to post information required by the Act relating to IRBA or indicate that it does not have any activity to report. IRBA’s annual audited financial statements are currently</w:t>
      </w:r>
      <w:r w:rsidR="0086563A" w:rsidRPr="00CF2349">
        <w:rPr>
          <w:rFonts w:cstheme="minorHAnsi"/>
          <w:color w:val="000000"/>
        </w:rPr>
        <w:t>,</w:t>
      </w:r>
      <w:r w:rsidR="00A56FB7" w:rsidRPr="00CF2349">
        <w:rPr>
          <w:rFonts w:cstheme="minorHAnsi"/>
          <w:color w:val="000000"/>
        </w:rPr>
        <w:t xml:space="preserve"> and have been in the recent past, been posted</w:t>
      </w:r>
      <w:r w:rsidR="00A56FB7" w:rsidRPr="00F55A1C">
        <w:rPr>
          <w:rFonts w:cstheme="minorHAnsi"/>
          <w:color w:val="000000"/>
        </w:rPr>
        <w:t xml:space="preserve"> </w:t>
      </w:r>
      <w:r w:rsidRPr="00F55A1C">
        <w:rPr>
          <w:rFonts w:cstheme="minorHAnsi"/>
          <w:color w:val="000000"/>
        </w:rPr>
        <w:t>on the Rhode Island Commerce Corporation’s website.</w:t>
      </w:r>
    </w:p>
    <w:p w14:paraId="5627C7C2" w14:textId="7FC96253" w:rsidR="00882AC0" w:rsidRPr="00C9183C" w:rsidRDefault="00882AC0" w:rsidP="00882AC0">
      <w:pPr>
        <w:spacing w:after="180" w:line="276" w:lineRule="auto"/>
        <w:jc w:val="both"/>
        <w:rPr>
          <w:rFonts w:cstheme="minorHAnsi"/>
          <w:color w:val="000000"/>
          <w:u w:color="000000"/>
        </w:rPr>
      </w:pPr>
    </w:p>
    <w:p w14:paraId="4F27384A" w14:textId="7C2CBE74" w:rsidR="00882AC0" w:rsidRPr="00C9183C" w:rsidRDefault="00882AC0" w:rsidP="00882AC0">
      <w:pPr>
        <w:spacing w:after="180" w:line="276" w:lineRule="auto"/>
        <w:jc w:val="both"/>
        <w:rPr>
          <w:rFonts w:eastAsiaTheme="majorEastAsia" w:cstheme="minorHAnsi"/>
          <w:i/>
          <w:iCs/>
          <w:color w:val="2F5496" w:themeColor="accent1" w:themeShade="BF"/>
        </w:rPr>
      </w:pPr>
      <w:r w:rsidRPr="00C9183C">
        <w:rPr>
          <w:rFonts w:eastAsiaTheme="majorEastAsia" w:cstheme="minorHAnsi"/>
          <w:i/>
          <w:iCs/>
          <w:color w:val="2F5496" w:themeColor="accent1" w:themeShade="BF"/>
        </w:rPr>
        <w:t xml:space="preserve">Responsible Party: </w:t>
      </w:r>
      <w:r w:rsidR="002554A2">
        <w:rPr>
          <w:rFonts w:eastAsiaTheme="majorEastAsia" w:cstheme="minorHAnsi"/>
          <w:i/>
          <w:iCs/>
          <w:color w:val="2F5496" w:themeColor="accent1" w:themeShade="BF"/>
        </w:rPr>
        <w:t>IRBA Operations Staff</w:t>
      </w:r>
    </w:p>
    <w:p w14:paraId="2EA74E6B" w14:textId="26765C08" w:rsidR="00882AC0" w:rsidRPr="00C9183C" w:rsidRDefault="00882AC0" w:rsidP="00882AC0">
      <w:pPr>
        <w:pStyle w:val="Heading4"/>
        <w:jc w:val="both"/>
        <w:rPr>
          <w:rFonts w:asciiTheme="minorHAnsi" w:hAnsiTheme="minorHAnsi" w:cstheme="minorHAnsi"/>
        </w:rPr>
      </w:pPr>
      <w:r w:rsidRPr="00C9183C">
        <w:rPr>
          <w:rFonts w:asciiTheme="minorHAnsi" w:hAnsiTheme="minorHAnsi" w:cstheme="minorHAnsi"/>
        </w:rPr>
        <w:t xml:space="preserve">Anticipated Completion Date: </w:t>
      </w:r>
      <w:r w:rsidR="002554A2">
        <w:rPr>
          <w:rFonts w:asciiTheme="minorHAnsi" w:hAnsiTheme="minorHAnsi" w:cstheme="minorHAnsi"/>
        </w:rPr>
        <w:t xml:space="preserve">On a go forward basis, IRBA Operations Staff will </w:t>
      </w:r>
      <w:r w:rsidR="00337900">
        <w:rPr>
          <w:rFonts w:asciiTheme="minorHAnsi" w:hAnsiTheme="minorHAnsi" w:cstheme="minorHAnsi"/>
        </w:rPr>
        <w:t xml:space="preserve">work with RICC Staff to </w:t>
      </w:r>
      <w:r w:rsidR="002554A2">
        <w:rPr>
          <w:rFonts w:asciiTheme="minorHAnsi" w:hAnsiTheme="minorHAnsi" w:cstheme="minorHAnsi"/>
        </w:rPr>
        <w:t xml:space="preserve">post general information </w:t>
      </w:r>
      <w:r w:rsidR="00337900">
        <w:rPr>
          <w:rFonts w:asciiTheme="minorHAnsi" w:hAnsiTheme="minorHAnsi" w:cstheme="minorHAnsi"/>
        </w:rPr>
        <w:t xml:space="preserve">on the RICC website pertaining to the performance measures that have recently been developed. </w:t>
      </w:r>
    </w:p>
    <w:p w14:paraId="6378290C" w14:textId="77777777" w:rsidR="00DA6DE9" w:rsidRDefault="00DA6DE9" w:rsidP="00DA6DE9">
      <w:pPr>
        <w:rPr>
          <w:rFonts w:cstheme="minorHAnsi"/>
          <w:b/>
        </w:rPr>
      </w:pPr>
    </w:p>
    <w:p w14:paraId="5A93C3E0" w14:textId="77777777" w:rsidR="00985D82" w:rsidRDefault="00985D82" w:rsidP="00985D82">
      <w:pPr>
        <w:pStyle w:val="Heading1"/>
      </w:pPr>
      <w:bookmarkStart w:id="12" w:name="_Toc20398301"/>
      <w:r>
        <w:t>Objective and Scope</w:t>
      </w:r>
      <w:bookmarkEnd w:id="12"/>
    </w:p>
    <w:p w14:paraId="71CE4BF4" w14:textId="0188BEDC" w:rsidR="00985D82" w:rsidRDefault="00985D82" w:rsidP="008A581E">
      <w:pPr>
        <w:spacing w:after="180" w:line="276" w:lineRule="auto"/>
        <w:jc w:val="both"/>
      </w:pPr>
      <w:r>
        <w:t xml:space="preserve">The Office of Internal Audit (OIA) conducted a limited scope audit of the </w:t>
      </w:r>
      <w:r w:rsidR="00274833">
        <w:t xml:space="preserve">Rhode Island Industrial Recreational Building </w:t>
      </w:r>
      <w:r w:rsidR="00EE132D">
        <w:t>Authority for</w:t>
      </w:r>
      <w:r w:rsidR="000E25DE">
        <w:t xml:space="preserve"> the period of January 1, 2018 through March 31, 2019</w:t>
      </w:r>
      <w:r w:rsidR="00274833">
        <w:t xml:space="preserve">. </w:t>
      </w:r>
      <w:r>
        <w:t xml:space="preserve">OIA reviewed </w:t>
      </w:r>
      <w:r w:rsidR="00274833">
        <w:t>IRBA</w:t>
      </w:r>
      <w:r>
        <w:t>’s compliance with the Quasi-Public Corporations Accountability and Transparency Act</w:t>
      </w:r>
      <w:r w:rsidR="00DD1639">
        <w:t xml:space="preserve"> and reviewed the policies and procedures and monitoring of bonds insured by IRBA</w:t>
      </w:r>
      <w:r>
        <w:t xml:space="preserve">.  </w:t>
      </w:r>
      <w:r w:rsidR="008A581E" w:rsidRPr="00B35562">
        <w:t xml:space="preserve">The objective of the audit was to determine if the IRBA complies with the requirements of the Quasi-Public Corporations Accountability and Transparency Act </w:t>
      </w:r>
      <w:r w:rsidR="008A581E">
        <w:t xml:space="preserve">and to </w:t>
      </w:r>
      <w:r w:rsidR="008A581E" w:rsidRPr="00B35562">
        <w:t>determine if operations are being administered efficiently and effectively in accordance with requirements</w:t>
      </w:r>
      <w:r w:rsidR="008A581E">
        <w:t>, statutes, and procedures</w:t>
      </w:r>
      <w:r w:rsidR="008A581E" w:rsidRPr="00B35562">
        <w:t xml:space="preserve">.  </w:t>
      </w:r>
    </w:p>
    <w:p w14:paraId="1244B8D8" w14:textId="77777777" w:rsidR="00985D82" w:rsidRDefault="00985D82" w:rsidP="00985D82"/>
    <w:p w14:paraId="7173EAD7" w14:textId="77777777" w:rsidR="00985D82" w:rsidRDefault="00985D82" w:rsidP="00985D82">
      <w:pPr>
        <w:pStyle w:val="Heading1"/>
      </w:pPr>
      <w:bookmarkStart w:id="13" w:name="_Toc20398302"/>
      <w:r>
        <w:t>Methodology</w:t>
      </w:r>
      <w:bookmarkEnd w:id="13"/>
    </w:p>
    <w:p w14:paraId="0705390A" w14:textId="75E29999" w:rsidR="00985D82" w:rsidRPr="00F01084" w:rsidRDefault="00985D82" w:rsidP="008A581E">
      <w:pPr>
        <w:spacing w:after="180" w:line="276" w:lineRule="auto"/>
        <w:jc w:val="both"/>
      </w:pPr>
      <w:r w:rsidRPr="00F01084">
        <w:t xml:space="preserve">As part of our audit work, the OIA gained an </w:t>
      </w:r>
      <w:r w:rsidRPr="00B35562">
        <w:t xml:space="preserve">understanding of the </w:t>
      </w:r>
      <w:r w:rsidR="00274833" w:rsidRPr="00B35562">
        <w:t>IRBA</w:t>
      </w:r>
      <w:r w:rsidRPr="00B35562">
        <w:t xml:space="preserve"> operations.  To</w:t>
      </w:r>
      <w:r w:rsidRPr="00F01084">
        <w:t xml:space="preserve"> address our audit objective, we performed the following:</w:t>
      </w:r>
    </w:p>
    <w:p w14:paraId="6E69DCB8" w14:textId="77777777" w:rsidR="00985D82" w:rsidRPr="00F01084" w:rsidRDefault="00985D82" w:rsidP="00985D82">
      <w:pPr>
        <w:pStyle w:val="ListParagraph"/>
        <w:numPr>
          <w:ilvl w:val="0"/>
          <w:numId w:val="4"/>
        </w:numPr>
        <w:spacing w:after="180" w:line="276" w:lineRule="auto"/>
        <w:rPr>
          <w:rFonts w:asciiTheme="minorHAnsi" w:hAnsiTheme="minorHAnsi"/>
          <w:sz w:val="22"/>
          <w:szCs w:val="22"/>
        </w:rPr>
      </w:pPr>
      <w:r w:rsidRPr="00F01084">
        <w:rPr>
          <w:rFonts w:asciiTheme="minorHAnsi" w:hAnsiTheme="minorHAnsi"/>
          <w:sz w:val="22"/>
          <w:szCs w:val="22"/>
        </w:rPr>
        <w:t>Requested information required under the Quasi-Public Act</w:t>
      </w:r>
    </w:p>
    <w:p w14:paraId="6E455F80" w14:textId="77777777" w:rsidR="00985D82" w:rsidRPr="00F01084" w:rsidRDefault="00985D82" w:rsidP="00985D82">
      <w:pPr>
        <w:pStyle w:val="ListParagraph"/>
        <w:numPr>
          <w:ilvl w:val="0"/>
          <w:numId w:val="4"/>
        </w:numPr>
        <w:spacing w:after="180" w:line="276" w:lineRule="auto"/>
        <w:rPr>
          <w:rFonts w:asciiTheme="minorHAnsi" w:hAnsiTheme="minorHAnsi"/>
          <w:sz w:val="22"/>
          <w:szCs w:val="22"/>
        </w:rPr>
      </w:pPr>
      <w:r w:rsidRPr="00F01084">
        <w:rPr>
          <w:rFonts w:asciiTheme="minorHAnsi" w:hAnsiTheme="minorHAnsi"/>
          <w:sz w:val="22"/>
          <w:szCs w:val="22"/>
        </w:rPr>
        <w:t>Searched website for adequate transparency disclosures</w:t>
      </w:r>
    </w:p>
    <w:p w14:paraId="766D97A0" w14:textId="0D7CDE61" w:rsidR="00985D82" w:rsidRDefault="00985D82" w:rsidP="00985D82">
      <w:pPr>
        <w:pStyle w:val="ListParagraph"/>
        <w:numPr>
          <w:ilvl w:val="0"/>
          <w:numId w:val="4"/>
        </w:numPr>
        <w:spacing w:after="180" w:line="276" w:lineRule="auto"/>
        <w:rPr>
          <w:rFonts w:asciiTheme="minorHAnsi" w:hAnsiTheme="minorHAnsi"/>
          <w:sz w:val="22"/>
          <w:szCs w:val="22"/>
        </w:rPr>
      </w:pPr>
      <w:r w:rsidRPr="00F01084">
        <w:rPr>
          <w:rFonts w:asciiTheme="minorHAnsi" w:hAnsiTheme="minorHAnsi"/>
          <w:sz w:val="22"/>
          <w:szCs w:val="22"/>
        </w:rPr>
        <w:t xml:space="preserve">Reviewed </w:t>
      </w:r>
      <w:r w:rsidR="00274833">
        <w:rPr>
          <w:rFonts w:asciiTheme="minorHAnsi" w:hAnsiTheme="minorHAnsi"/>
          <w:sz w:val="22"/>
          <w:szCs w:val="22"/>
        </w:rPr>
        <w:t xml:space="preserve">procedures for </w:t>
      </w:r>
      <w:r w:rsidR="000E25DE">
        <w:rPr>
          <w:rFonts w:asciiTheme="minorHAnsi" w:hAnsiTheme="minorHAnsi"/>
          <w:sz w:val="22"/>
          <w:szCs w:val="22"/>
        </w:rPr>
        <w:t>bond</w:t>
      </w:r>
      <w:r w:rsidR="00274833">
        <w:rPr>
          <w:rFonts w:asciiTheme="minorHAnsi" w:hAnsiTheme="minorHAnsi"/>
          <w:sz w:val="22"/>
          <w:szCs w:val="22"/>
        </w:rPr>
        <w:t xml:space="preserve"> issuance</w:t>
      </w:r>
      <w:r w:rsidR="000E25DE">
        <w:rPr>
          <w:rFonts w:asciiTheme="minorHAnsi" w:hAnsiTheme="minorHAnsi"/>
          <w:sz w:val="22"/>
          <w:szCs w:val="22"/>
        </w:rPr>
        <w:t xml:space="preserve"> process </w:t>
      </w:r>
    </w:p>
    <w:p w14:paraId="61BB8E4B" w14:textId="6A42E348" w:rsidR="00274833" w:rsidRPr="00F01084" w:rsidRDefault="00274833" w:rsidP="00985D82">
      <w:pPr>
        <w:pStyle w:val="ListParagraph"/>
        <w:numPr>
          <w:ilvl w:val="0"/>
          <w:numId w:val="4"/>
        </w:numPr>
        <w:spacing w:after="180" w:line="276" w:lineRule="auto"/>
        <w:rPr>
          <w:rFonts w:asciiTheme="minorHAnsi" w:hAnsiTheme="minorHAnsi"/>
          <w:sz w:val="22"/>
          <w:szCs w:val="22"/>
        </w:rPr>
      </w:pPr>
      <w:r>
        <w:rPr>
          <w:rFonts w:asciiTheme="minorHAnsi" w:hAnsiTheme="minorHAnsi"/>
          <w:sz w:val="22"/>
          <w:szCs w:val="22"/>
        </w:rPr>
        <w:t xml:space="preserve">Reviewed procedures </w:t>
      </w:r>
      <w:r w:rsidRPr="00CF2349">
        <w:rPr>
          <w:rFonts w:asciiTheme="minorHAnsi" w:hAnsiTheme="minorHAnsi"/>
          <w:sz w:val="22"/>
          <w:szCs w:val="22"/>
        </w:rPr>
        <w:t>and tested sample of delinquent bonds</w:t>
      </w:r>
      <w:r>
        <w:rPr>
          <w:rFonts w:asciiTheme="minorHAnsi" w:hAnsiTheme="minorHAnsi"/>
          <w:sz w:val="22"/>
          <w:szCs w:val="22"/>
        </w:rPr>
        <w:t xml:space="preserve">  </w:t>
      </w:r>
    </w:p>
    <w:p w14:paraId="075E2933" w14:textId="77777777" w:rsidR="00AA3648" w:rsidRDefault="00AA3648" w:rsidP="008A581E">
      <w:pPr>
        <w:spacing w:after="180" w:line="276" w:lineRule="auto"/>
        <w:jc w:val="both"/>
      </w:pPr>
      <w:bookmarkStart w:id="14" w:name="_Hlk17971305"/>
      <w:r>
        <w:lastRenderedPageBreak/>
        <w:t xml:space="preserve">The results of this limited scope audit are communicated within this report.  The OIA used an external audit firm, CliftonLarsonAllen, LLP (CLA), to supplement its staff during the performance of this audit.  CLA performed the detailed audit work and was selected using a competitive bidding process. </w:t>
      </w:r>
    </w:p>
    <w:bookmarkEnd w:id="14"/>
    <w:p w14:paraId="3FA920CD" w14:textId="77777777" w:rsidR="00985D82" w:rsidRDefault="00985D82"/>
    <w:sectPr w:rsidR="00985D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C0911" w14:textId="77777777" w:rsidR="006576CF" w:rsidRDefault="006576CF" w:rsidP="00726E9C">
      <w:pPr>
        <w:spacing w:after="0" w:line="240" w:lineRule="auto"/>
      </w:pPr>
      <w:r>
        <w:separator/>
      </w:r>
    </w:p>
  </w:endnote>
  <w:endnote w:type="continuationSeparator" w:id="0">
    <w:p w14:paraId="3C47FC29" w14:textId="77777777" w:rsidR="006576CF" w:rsidRDefault="006576CF" w:rsidP="0072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7BFD" w14:textId="77777777" w:rsidR="00726E9C" w:rsidRDefault="0072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24C4" w14:textId="77777777" w:rsidR="00726E9C" w:rsidRDefault="00726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97A9" w14:textId="77777777" w:rsidR="00726E9C" w:rsidRDefault="00726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CFF5" w14:textId="77777777" w:rsidR="006576CF" w:rsidRDefault="006576CF" w:rsidP="00726E9C">
      <w:pPr>
        <w:spacing w:after="0" w:line="240" w:lineRule="auto"/>
      </w:pPr>
      <w:r>
        <w:separator/>
      </w:r>
    </w:p>
  </w:footnote>
  <w:footnote w:type="continuationSeparator" w:id="0">
    <w:p w14:paraId="452733A1" w14:textId="77777777" w:rsidR="006576CF" w:rsidRDefault="006576CF" w:rsidP="0072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51DF" w14:textId="77777777" w:rsidR="00726E9C" w:rsidRDefault="00726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90E8" w14:textId="7F383454" w:rsidR="00726E9C" w:rsidRDefault="00726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6899" w14:textId="77777777" w:rsidR="00726E9C" w:rsidRDefault="00726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3F7"/>
    <w:multiLevelType w:val="hybridMultilevel"/>
    <w:tmpl w:val="54721008"/>
    <w:lvl w:ilvl="0" w:tplc="8D9E7E1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9541F"/>
    <w:multiLevelType w:val="hybridMultilevel"/>
    <w:tmpl w:val="82F0B6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135F2"/>
    <w:multiLevelType w:val="hybridMultilevel"/>
    <w:tmpl w:val="7A72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930A0"/>
    <w:multiLevelType w:val="hybridMultilevel"/>
    <w:tmpl w:val="3AA89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AA"/>
    <w:rsid w:val="00004822"/>
    <w:rsid w:val="00061371"/>
    <w:rsid w:val="000873AA"/>
    <w:rsid w:val="000B16C9"/>
    <w:rsid w:val="000D2CED"/>
    <w:rsid w:val="000E25DE"/>
    <w:rsid w:val="000F571B"/>
    <w:rsid w:val="00120D82"/>
    <w:rsid w:val="001753B8"/>
    <w:rsid w:val="001D2118"/>
    <w:rsid w:val="001E5BA6"/>
    <w:rsid w:val="002554A2"/>
    <w:rsid w:val="00274833"/>
    <w:rsid w:val="00332BB5"/>
    <w:rsid w:val="00337900"/>
    <w:rsid w:val="00357172"/>
    <w:rsid w:val="0037625C"/>
    <w:rsid w:val="003A0D38"/>
    <w:rsid w:val="003A4459"/>
    <w:rsid w:val="00557154"/>
    <w:rsid w:val="006313DC"/>
    <w:rsid w:val="006576CF"/>
    <w:rsid w:val="00680707"/>
    <w:rsid w:val="006C4DA4"/>
    <w:rsid w:val="00726E9C"/>
    <w:rsid w:val="0077028B"/>
    <w:rsid w:val="007A23DE"/>
    <w:rsid w:val="0086563A"/>
    <w:rsid w:val="00882AC0"/>
    <w:rsid w:val="008A581E"/>
    <w:rsid w:val="008B7991"/>
    <w:rsid w:val="008D5CC2"/>
    <w:rsid w:val="0095010E"/>
    <w:rsid w:val="00985D82"/>
    <w:rsid w:val="00995D87"/>
    <w:rsid w:val="00A04632"/>
    <w:rsid w:val="00A24895"/>
    <w:rsid w:val="00A56FB7"/>
    <w:rsid w:val="00A821A3"/>
    <w:rsid w:val="00AA3648"/>
    <w:rsid w:val="00AF6026"/>
    <w:rsid w:val="00B35562"/>
    <w:rsid w:val="00CD7B9D"/>
    <w:rsid w:val="00CF2349"/>
    <w:rsid w:val="00D154E7"/>
    <w:rsid w:val="00D26926"/>
    <w:rsid w:val="00DA6DE9"/>
    <w:rsid w:val="00DD0C9C"/>
    <w:rsid w:val="00DD1639"/>
    <w:rsid w:val="00DF2A57"/>
    <w:rsid w:val="00E30402"/>
    <w:rsid w:val="00EB5EE8"/>
    <w:rsid w:val="00EE132D"/>
    <w:rsid w:val="00EE2934"/>
    <w:rsid w:val="00F029FF"/>
    <w:rsid w:val="00F14B51"/>
    <w:rsid w:val="00F416A2"/>
    <w:rsid w:val="00F65606"/>
    <w:rsid w:val="00F94B52"/>
    <w:rsid w:val="00FC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4D73"/>
  <w15:chartTrackingRefBased/>
  <w15:docId w15:val="{E388E7CE-C6EF-40B8-9D46-96511A82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AC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AC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882AC0"/>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A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2AC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82AC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rsid w:val="00882AC0"/>
    <w:rPr>
      <w:color w:val="0000FF"/>
      <w:u w:val="single"/>
    </w:rPr>
  </w:style>
  <w:style w:type="paragraph" w:styleId="ListParagraph">
    <w:name w:val="List Paragraph"/>
    <w:basedOn w:val="Normal"/>
    <w:uiPriority w:val="34"/>
    <w:qFormat/>
    <w:rsid w:val="00882A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882AC0"/>
    <w:pPr>
      <w:spacing w:after="100" w:line="276" w:lineRule="auto"/>
    </w:pPr>
  </w:style>
  <w:style w:type="paragraph" w:styleId="TOC2">
    <w:name w:val="toc 2"/>
    <w:basedOn w:val="Normal"/>
    <w:next w:val="Normal"/>
    <w:autoRedefine/>
    <w:uiPriority w:val="39"/>
    <w:unhideWhenUsed/>
    <w:rsid w:val="00882AC0"/>
    <w:pPr>
      <w:spacing w:after="100" w:line="276" w:lineRule="auto"/>
      <w:ind w:left="220"/>
    </w:pPr>
  </w:style>
  <w:style w:type="paragraph" w:customStyle="1" w:styleId="Normal1">
    <w:name w:val="Normal1"/>
    <w:basedOn w:val="Normal"/>
    <w:rsid w:val="00882AC0"/>
    <w:pPr>
      <w:spacing w:after="0" w:line="240" w:lineRule="auto"/>
    </w:pPr>
    <w:rPr>
      <w:rFonts w:ascii="Times New Roman" w:eastAsia="Times New Roman" w:hAnsi="Times New Roman" w:cs="Times New Roman"/>
      <w:sz w:val="24"/>
      <w:szCs w:val="24"/>
    </w:rPr>
  </w:style>
  <w:style w:type="character" w:customStyle="1" w:styleId="s6c8efa9d1">
    <w:name w:val="s_6c8efa9d1"/>
    <w:basedOn w:val="DefaultParagraphFont"/>
    <w:rsid w:val="00882AC0"/>
    <w:rPr>
      <w:b/>
      <w:bCs/>
    </w:rPr>
  </w:style>
  <w:style w:type="paragraph" w:styleId="BalloonText">
    <w:name w:val="Balloon Text"/>
    <w:basedOn w:val="Normal"/>
    <w:link w:val="BalloonTextChar"/>
    <w:uiPriority w:val="99"/>
    <w:semiHidden/>
    <w:unhideWhenUsed/>
    <w:rsid w:val="0088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0"/>
    <w:rPr>
      <w:rFonts w:ascii="Segoe UI" w:hAnsi="Segoe UI" w:cs="Segoe UI"/>
      <w:sz w:val="18"/>
      <w:szCs w:val="18"/>
    </w:rPr>
  </w:style>
  <w:style w:type="character" w:styleId="CommentReference">
    <w:name w:val="annotation reference"/>
    <w:basedOn w:val="DefaultParagraphFont"/>
    <w:uiPriority w:val="99"/>
    <w:semiHidden/>
    <w:unhideWhenUsed/>
    <w:rsid w:val="00DA6DE9"/>
    <w:rPr>
      <w:sz w:val="16"/>
      <w:szCs w:val="16"/>
    </w:rPr>
  </w:style>
  <w:style w:type="paragraph" w:styleId="CommentText">
    <w:name w:val="annotation text"/>
    <w:basedOn w:val="Normal"/>
    <w:link w:val="CommentTextChar"/>
    <w:uiPriority w:val="99"/>
    <w:unhideWhenUsed/>
    <w:rsid w:val="00DA6DE9"/>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A6DE9"/>
    <w:rPr>
      <w:rFonts w:ascii="Calibri" w:eastAsia="Calibri" w:hAnsi="Calibri" w:cs="Times New Roman"/>
      <w:sz w:val="20"/>
      <w:szCs w:val="20"/>
    </w:rPr>
  </w:style>
  <w:style w:type="paragraph" w:styleId="Header">
    <w:name w:val="header"/>
    <w:basedOn w:val="Normal"/>
    <w:link w:val="HeaderChar"/>
    <w:uiPriority w:val="99"/>
    <w:unhideWhenUsed/>
    <w:rsid w:val="0072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E9C"/>
  </w:style>
  <w:style w:type="paragraph" w:styleId="Footer">
    <w:name w:val="footer"/>
    <w:basedOn w:val="Normal"/>
    <w:link w:val="FooterChar"/>
    <w:uiPriority w:val="99"/>
    <w:unhideWhenUsed/>
    <w:rsid w:val="0072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E9C"/>
  </w:style>
  <w:style w:type="paragraph" w:styleId="CommentSubject">
    <w:name w:val="annotation subject"/>
    <w:basedOn w:val="CommentText"/>
    <w:next w:val="CommentText"/>
    <w:link w:val="CommentSubjectChar"/>
    <w:uiPriority w:val="99"/>
    <w:semiHidden/>
    <w:unhideWhenUsed/>
    <w:rsid w:val="008D5CC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5CC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 Tara (DOA)</dc:creator>
  <cp:keywords/>
  <dc:description/>
  <cp:lastModifiedBy>Mello, Tara (DOA)</cp:lastModifiedBy>
  <cp:revision>3</cp:revision>
  <dcterms:created xsi:type="dcterms:W3CDTF">2019-09-30T12:29:00Z</dcterms:created>
  <dcterms:modified xsi:type="dcterms:W3CDTF">2019-09-30T12:39:00Z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